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89AA8" w14:textId="77777777" w:rsidR="00292722" w:rsidRPr="00B35BCF" w:rsidRDefault="00292722" w:rsidP="00292722">
      <w:pPr>
        <w:jc w:val="center"/>
        <w:rPr>
          <w:sz w:val="24"/>
          <w:szCs w:val="24"/>
        </w:rPr>
      </w:pPr>
      <w:r w:rsidRPr="00B35BCF">
        <w:rPr>
          <w:rFonts w:cstheme="minorHAnsi"/>
          <w:noProof/>
          <w:sz w:val="24"/>
          <w:szCs w:val="24"/>
        </w:rPr>
        <w:drawing>
          <wp:inline distT="0" distB="0" distL="0" distR="0" wp14:anchorId="625ACB1A" wp14:editId="502E9D9B">
            <wp:extent cx="3943350" cy="594812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4"/>
                    <a:srcRect l="10233" r="12117" b="11545"/>
                    <a:stretch/>
                  </pic:blipFill>
                  <pic:spPr bwMode="auto">
                    <a:xfrm>
                      <a:off x="0" y="0"/>
                      <a:ext cx="3946152" cy="5952351"/>
                    </a:xfrm>
                    <a:prstGeom prst="rect">
                      <a:avLst/>
                    </a:prstGeom>
                    <a:ln>
                      <a:noFill/>
                    </a:ln>
                    <a:extLst>
                      <a:ext uri="{53640926-AAD7-44D8-BBD7-CCE9431645EC}">
                        <a14:shadowObscured xmlns:a14="http://schemas.microsoft.com/office/drawing/2010/main"/>
                      </a:ext>
                    </a:extLst>
                  </pic:spPr>
                </pic:pic>
              </a:graphicData>
            </a:graphic>
          </wp:inline>
        </w:drawing>
      </w:r>
    </w:p>
    <w:p w14:paraId="0751F37B" w14:textId="77777777" w:rsidR="00292722" w:rsidRPr="00B35BCF" w:rsidRDefault="00292722" w:rsidP="00292722">
      <w:pPr>
        <w:jc w:val="center"/>
        <w:rPr>
          <w:sz w:val="24"/>
          <w:szCs w:val="24"/>
        </w:rPr>
      </w:pPr>
    </w:p>
    <w:p w14:paraId="6DF65DFE" w14:textId="77777777" w:rsidR="00292722" w:rsidRPr="00B35BCF" w:rsidRDefault="00292722" w:rsidP="00292722">
      <w:pPr>
        <w:jc w:val="center"/>
        <w:rPr>
          <w:rFonts w:cstheme="minorHAnsi"/>
          <w:sz w:val="24"/>
          <w:szCs w:val="24"/>
          <w:vertAlign w:val="superscript"/>
        </w:rPr>
      </w:pPr>
      <w:r w:rsidRPr="00B35BCF">
        <w:rPr>
          <w:rFonts w:cstheme="minorHAnsi"/>
          <w:sz w:val="24"/>
          <w:szCs w:val="24"/>
        </w:rPr>
        <w:t>Gambar 1. Patofisiologi Aksis Hipotalamus-Hipofisis-Tiroid pada Metabolisme Tulang</w:t>
      </w:r>
      <w:r w:rsidRPr="00B35BCF">
        <w:rPr>
          <w:rFonts w:cstheme="minorHAnsi"/>
          <w:sz w:val="24"/>
          <w:szCs w:val="24"/>
          <w:vertAlign w:val="superscript"/>
        </w:rPr>
        <w:t>10</w:t>
      </w:r>
    </w:p>
    <w:p w14:paraId="1F80CED7" w14:textId="77777777" w:rsidR="00292722" w:rsidRPr="00B35BCF" w:rsidRDefault="00292722" w:rsidP="00292722">
      <w:pPr>
        <w:jc w:val="center"/>
        <w:rPr>
          <w:rFonts w:cstheme="minorHAnsi"/>
          <w:sz w:val="24"/>
          <w:szCs w:val="24"/>
          <w:vertAlign w:val="superscript"/>
        </w:rPr>
      </w:pPr>
      <w:r w:rsidRPr="00B35BCF">
        <w:rPr>
          <w:rFonts w:cstheme="minorHAnsi"/>
          <w:sz w:val="24"/>
          <w:szCs w:val="24"/>
        </w:rPr>
        <w:t xml:space="preserve">OPG: </w:t>
      </w:r>
      <w:r w:rsidRPr="00B35BCF">
        <w:rPr>
          <w:rFonts w:cstheme="minorHAnsi"/>
          <w:i/>
          <w:iCs/>
          <w:sz w:val="24"/>
          <w:szCs w:val="24"/>
        </w:rPr>
        <w:t>osteoprotegenrin</w:t>
      </w:r>
      <w:r w:rsidRPr="00B35BCF">
        <w:rPr>
          <w:rFonts w:cstheme="minorHAnsi"/>
          <w:sz w:val="24"/>
          <w:szCs w:val="24"/>
        </w:rPr>
        <w:t xml:space="preserve">; RANKL: </w:t>
      </w:r>
      <w:r w:rsidRPr="00B35BCF">
        <w:rPr>
          <w:rFonts w:cstheme="minorHAnsi"/>
          <w:i/>
          <w:iCs/>
          <w:sz w:val="24"/>
          <w:szCs w:val="24"/>
        </w:rPr>
        <w:t>receptor activator of nuclear factor kappa-B ligand</w:t>
      </w:r>
      <w:r w:rsidRPr="00B35BCF">
        <w:rPr>
          <w:rFonts w:cstheme="minorHAnsi"/>
          <w:sz w:val="24"/>
          <w:szCs w:val="24"/>
        </w:rPr>
        <w:t xml:space="preserve">; TRH: </w:t>
      </w:r>
      <w:r w:rsidRPr="00B35BCF">
        <w:rPr>
          <w:rFonts w:cstheme="minorHAnsi"/>
          <w:i/>
          <w:iCs/>
          <w:sz w:val="24"/>
          <w:szCs w:val="24"/>
        </w:rPr>
        <w:t>thyrotropin-releasing hormone</w:t>
      </w:r>
      <w:r w:rsidRPr="00B35BCF">
        <w:rPr>
          <w:rFonts w:cstheme="minorHAnsi"/>
          <w:sz w:val="24"/>
          <w:szCs w:val="24"/>
        </w:rPr>
        <w:t xml:space="preserve">; TSRH: </w:t>
      </w:r>
      <w:r w:rsidRPr="00B35BCF">
        <w:rPr>
          <w:rFonts w:cstheme="minorHAnsi"/>
          <w:i/>
          <w:iCs/>
          <w:sz w:val="24"/>
          <w:szCs w:val="24"/>
        </w:rPr>
        <w:t>thyroid-stimulating hormone receptor</w:t>
      </w:r>
      <w:r w:rsidRPr="00B35BCF">
        <w:rPr>
          <w:rFonts w:cstheme="minorHAnsi"/>
          <w:sz w:val="24"/>
          <w:szCs w:val="24"/>
        </w:rPr>
        <w:t>.</w:t>
      </w:r>
    </w:p>
    <w:p w14:paraId="2B8BC16F" w14:textId="77777777" w:rsidR="00292722" w:rsidRPr="00B35BCF" w:rsidRDefault="00292722" w:rsidP="00292722">
      <w:pPr>
        <w:jc w:val="both"/>
        <w:rPr>
          <w:rFonts w:cstheme="minorHAnsi"/>
          <w:sz w:val="24"/>
          <w:szCs w:val="24"/>
        </w:rPr>
      </w:pPr>
      <w:r w:rsidRPr="00B35BCF">
        <w:rPr>
          <w:rFonts w:cstheme="minorHAnsi"/>
          <w:sz w:val="24"/>
          <w:szCs w:val="24"/>
        </w:rPr>
        <w:t>Referensi:</w:t>
      </w:r>
    </w:p>
    <w:p w14:paraId="2B888310" w14:textId="77777777" w:rsidR="00292722" w:rsidRPr="00B35BCF" w:rsidRDefault="00292722" w:rsidP="00292722">
      <w:pPr>
        <w:jc w:val="both"/>
        <w:rPr>
          <w:sz w:val="24"/>
          <w:szCs w:val="24"/>
        </w:rPr>
      </w:pPr>
      <w:r w:rsidRPr="00B35BCF">
        <w:rPr>
          <w:rFonts w:cstheme="minorHAnsi"/>
          <w:sz w:val="24"/>
          <w:szCs w:val="24"/>
        </w:rPr>
        <w:t>10. Apostu D, Ondine L, Daniel OD, Alexandru DM, Cristina MP, Andrei M, Horea B. 2020. The Influence of Thyroid Pathology on Osteoporosis and Fracture Risk: A Review. Diagnostics. 10 (149): 1-11.</w:t>
      </w:r>
    </w:p>
    <w:p w14:paraId="2F18B815" w14:textId="77777777" w:rsidR="00292722" w:rsidRPr="00B35BCF" w:rsidRDefault="00292722" w:rsidP="00292722">
      <w:pPr>
        <w:rPr>
          <w:sz w:val="24"/>
          <w:szCs w:val="24"/>
        </w:rPr>
      </w:pPr>
    </w:p>
    <w:p w14:paraId="27611223" w14:textId="77777777" w:rsidR="00292722" w:rsidRDefault="00292722" w:rsidP="005F6573">
      <w:pPr>
        <w:pStyle w:val="NoSpacing"/>
        <w:spacing w:after="120"/>
        <w:jc w:val="center"/>
        <w:rPr>
          <w:rFonts w:asciiTheme="minorHAnsi" w:hAnsiTheme="minorHAnsi" w:cstheme="minorHAnsi"/>
          <w:color w:val="000000"/>
          <w:szCs w:val="24"/>
        </w:rPr>
        <w:sectPr w:rsidR="00292722" w:rsidSect="00292722">
          <w:pgSz w:w="12240" w:h="15840"/>
          <w:pgMar w:top="1440" w:right="1440" w:bottom="1440" w:left="1440" w:header="720" w:footer="720" w:gutter="0"/>
          <w:cols w:space="720"/>
          <w:docGrid w:linePitch="360"/>
        </w:sectPr>
      </w:pPr>
    </w:p>
    <w:p w14:paraId="291B430B" w14:textId="258EA5F1" w:rsidR="005F6573" w:rsidRPr="005F6573" w:rsidRDefault="005F6573" w:rsidP="005F6573">
      <w:pPr>
        <w:pStyle w:val="NoSpacing"/>
        <w:spacing w:after="120"/>
        <w:jc w:val="center"/>
        <w:rPr>
          <w:rFonts w:asciiTheme="minorHAnsi" w:hAnsiTheme="minorHAnsi" w:cstheme="minorHAnsi"/>
          <w:color w:val="000000"/>
          <w:szCs w:val="24"/>
        </w:rPr>
      </w:pPr>
      <w:r w:rsidRPr="005F6573">
        <w:rPr>
          <w:rFonts w:asciiTheme="minorHAnsi" w:hAnsiTheme="minorHAnsi" w:cstheme="minorHAnsi"/>
          <w:color w:val="000000"/>
          <w:szCs w:val="24"/>
        </w:rPr>
        <w:t xml:space="preserve">Tabel 1. Kriteria Diagnosis Osteoporosis dan Osteopenia pada wanita </w:t>
      </w:r>
      <w:r w:rsidRPr="005F6573">
        <w:rPr>
          <w:rFonts w:asciiTheme="minorHAnsi" w:hAnsiTheme="minorHAnsi" w:cstheme="minorHAnsi"/>
          <w:i/>
          <w:iCs/>
          <w:color w:val="000000"/>
          <w:szCs w:val="24"/>
        </w:rPr>
        <w:t>postmenopause</w:t>
      </w:r>
      <w:r w:rsidRPr="005F6573">
        <w:rPr>
          <w:rFonts w:asciiTheme="minorHAnsi" w:hAnsiTheme="minorHAnsi" w:cstheme="minorHAnsi"/>
          <w:color w:val="000000"/>
          <w:szCs w:val="24"/>
        </w:rPr>
        <w:t xml:space="preserve"> dan pria usia ≥ 50 tahun</w:t>
      </w:r>
      <w:r w:rsidRPr="005F6573">
        <w:rPr>
          <w:rFonts w:asciiTheme="minorHAnsi" w:hAnsiTheme="minorHAnsi" w:cstheme="minorHAnsi"/>
          <w:color w:val="000000"/>
          <w:szCs w:val="24"/>
          <w:vertAlign w:val="superscript"/>
        </w:rPr>
        <w:t>2</w:t>
      </w:r>
    </w:p>
    <w:tbl>
      <w:tblPr>
        <w:tblStyle w:val="TableGrid"/>
        <w:tblW w:w="0" w:type="auto"/>
        <w:tblLook w:val="04A0" w:firstRow="1" w:lastRow="0" w:firstColumn="1" w:lastColumn="0" w:noHBand="0" w:noVBand="1"/>
      </w:tblPr>
      <w:tblGrid>
        <w:gridCol w:w="1518"/>
        <w:gridCol w:w="2802"/>
      </w:tblGrid>
      <w:tr w:rsidR="005F6573" w:rsidRPr="005F6573" w14:paraId="035DB8FC" w14:textId="77777777" w:rsidTr="008D5B1D">
        <w:tc>
          <w:tcPr>
            <w:tcW w:w="1287" w:type="dxa"/>
            <w:tcBorders>
              <w:left w:val="nil"/>
              <w:bottom w:val="single" w:sz="4" w:space="0" w:color="auto"/>
              <w:right w:val="nil"/>
            </w:tcBorders>
          </w:tcPr>
          <w:p w14:paraId="15E7BE1D" w14:textId="77777777" w:rsidR="005F6573" w:rsidRPr="005F6573" w:rsidRDefault="005F6573" w:rsidP="008D5B1D">
            <w:pPr>
              <w:pStyle w:val="NoSpacing"/>
              <w:jc w:val="center"/>
              <w:rPr>
                <w:rFonts w:asciiTheme="minorHAnsi" w:hAnsiTheme="minorHAnsi" w:cstheme="minorHAnsi"/>
                <w:b/>
                <w:bCs/>
                <w:color w:val="000000"/>
                <w:szCs w:val="24"/>
              </w:rPr>
            </w:pPr>
            <w:r w:rsidRPr="005F6573">
              <w:rPr>
                <w:rFonts w:asciiTheme="minorHAnsi" w:hAnsiTheme="minorHAnsi" w:cstheme="minorHAnsi"/>
                <w:b/>
                <w:bCs/>
                <w:color w:val="000000"/>
                <w:szCs w:val="24"/>
              </w:rPr>
              <w:t>Kategori</w:t>
            </w:r>
          </w:p>
        </w:tc>
        <w:tc>
          <w:tcPr>
            <w:tcW w:w="2952" w:type="dxa"/>
            <w:tcBorders>
              <w:left w:val="nil"/>
              <w:bottom w:val="single" w:sz="4" w:space="0" w:color="auto"/>
              <w:right w:val="nil"/>
            </w:tcBorders>
          </w:tcPr>
          <w:p w14:paraId="76750C17" w14:textId="77777777" w:rsidR="005F6573" w:rsidRPr="005F6573" w:rsidRDefault="005F6573" w:rsidP="008D5B1D">
            <w:pPr>
              <w:pStyle w:val="NoSpacing"/>
              <w:jc w:val="center"/>
              <w:rPr>
                <w:rFonts w:asciiTheme="minorHAnsi" w:hAnsiTheme="minorHAnsi" w:cstheme="minorHAnsi"/>
                <w:b/>
                <w:bCs/>
                <w:color w:val="000000"/>
                <w:szCs w:val="24"/>
              </w:rPr>
            </w:pPr>
            <w:r w:rsidRPr="005F6573">
              <w:rPr>
                <w:rFonts w:asciiTheme="minorHAnsi" w:hAnsiTheme="minorHAnsi" w:cstheme="minorHAnsi"/>
                <w:b/>
                <w:bCs/>
                <w:i/>
                <w:iCs/>
                <w:color w:val="000000"/>
                <w:szCs w:val="24"/>
              </w:rPr>
              <w:t>Bone Mass Density</w:t>
            </w:r>
            <w:r w:rsidRPr="005F6573">
              <w:rPr>
                <w:rFonts w:asciiTheme="minorHAnsi" w:hAnsiTheme="minorHAnsi" w:cstheme="minorHAnsi"/>
                <w:b/>
                <w:bCs/>
                <w:color w:val="000000"/>
                <w:szCs w:val="24"/>
              </w:rPr>
              <w:t xml:space="preserve"> (BMD) diperoleh dari pengukuran DEXA</w:t>
            </w:r>
          </w:p>
        </w:tc>
      </w:tr>
      <w:tr w:rsidR="005F6573" w:rsidRPr="005F6573" w14:paraId="5CAB2BE3" w14:textId="77777777" w:rsidTr="008D5B1D">
        <w:tc>
          <w:tcPr>
            <w:tcW w:w="1287" w:type="dxa"/>
            <w:tcBorders>
              <w:left w:val="nil"/>
              <w:bottom w:val="nil"/>
              <w:right w:val="nil"/>
            </w:tcBorders>
          </w:tcPr>
          <w:p w14:paraId="3D8E3AF1" w14:textId="77777777" w:rsidR="005F6573" w:rsidRPr="005F6573" w:rsidRDefault="005F6573" w:rsidP="008D5B1D">
            <w:pPr>
              <w:pStyle w:val="NoSpacing"/>
              <w:jc w:val="left"/>
              <w:rPr>
                <w:rFonts w:asciiTheme="minorHAnsi" w:hAnsiTheme="minorHAnsi" w:cstheme="minorHAnsi"/>
                <w:color w:val="000000"/>
                <w:szCs w:val="24"/>
              </w:rPr>
            </w:pPr>
            <w:r w:rsidRPr="005F6573">
              <w:rPr>
                <w:rFonts w:asciiTheme="minorHAnsi" w:hAnsiTheme="minorHAnsi" w:cstheme="minorHAnsi"/>
                <w:color w:val="000000"/>
                <w:szCs w:val="24"/>
              </w:rPr>
              <w:t>Normal</w:t>
            </w:r>
          </w:p>
        </w:tc>
        <w:tc>
          <w:tcPr>
            <w:tcW w:w="2952" w:type="dxa"/>
            <w:tcBorders>
              <w:left w:val="nil"/>
              <w:bottom w:val="nil"/>
              <w:right w:val="nil"/>
            </w:tcBorders>
          </w:tcPr>
          <w:p w14:paraId="14780D84" w14:textId="77777777" w:rsidR="005F6573" w:rsidRPr="005F6573" w:rsidRDefault="005F6573" w:rsidP="008D5B1D">
            <w:pPr>
              <w:pStyle w:val="NoSpacing"/>
              <w:jc w:val="left"/>
              <w:rPr>
                <w:rFonts w:asciiTheme="minorHAnsi" w:hAnsiTheme="minorHAnsi" w:cstheme="minorHAnsi"/>
                <w:color w:val="000000"/>
                <w:szCs w:val="24"/>
              </w:rPr>
            </w:pPr>
            <w:r w:rsidRPr="005F6573">
              <w:rPr>
                <w:rFonts w:asciiTheme="minorHAnsi" w:hAnsiTheme="minorHAnsi" w:cstheme="minorHAnsi"/>
                <w:color w:val="000000"/>
                <w:szCs w:val="24"/>
              </w:rPr>
              <w:t>BMD tulang belakang atau pinggul bernilai 1,0 SD di bawah rata-rata referensi wanita dewasa muda (skor T ≥ –1,0 SD)</w:t>
            </w:r>
          </w:p>
        </w:tc>
      </w:tr>
      <w:tr w:rsidR="005F6573" w:rsidRPr="005F6573" w14:paraId="4D297AA2" w14:textId="77777777" w:rsidTr="008D5B1D">
        <w:tc>
          <w:tcPr>
            <w:tcW w:w="1287" w:type="dxa"/>
            <w:tcBorders>
              <w:top w:val="nil"/>
              <w:left w:val="nil"/>
              <w:bottom w:val="nil"/>
              <w:right w:val="nil"/>
            </w:tcBorders>
          </w:tcPr>
          <w:p w14:paraId="2DBF8061" w14:textId="77777777" w:rsidR="005F6573" w:rsidRPr="005F6573" w:rsidRDefault="005F6573" w:rsidP="008D5B1D">
            <w:pPr>
              <w:pStyle w:val="NoSpacing"/>
              <w:jc w:val="left"/>
              <w:rPr>
                <w:rFonts w:asciiTheme="minorHAnsi" w:hAnsiTheme="minorHAnsi" w:cstheme="minorHAnsi"/>
                <w:color w:val="000000"/>
                <w:szCs w:val="24"/>
              </w:rPr>
            </w:pPr>
            <w:r w:rsidRPr="005F6573">
              <w:rPr>
                <w:rFonts w:asciiTheme="minorHAnsi" w:hAnsiTheme="minorHAnsi" w:cstheme="minorHAnsi"/>
                <w:color w:val="000000"/>
                <w:szCs w:val="24"/>
              </w:rPr>
              <w:t>Osteopenia</w:t>
            </w:r>
          </w:p>
        </w:tc>
        <w:tc>
          <w:tcPr>
            <w:tcW w:w="2952" w:type="dxa"/>
            <w:tcBorders>
              <w:top w:val="nil"/>
              <w:left w:val="nil"/>
              <w:bottom w:val="nil"/>
              <w:right w:val="nil"/>
            </w:tcBorders>
          </w:tcPr>
          <w:p w14:paraId="26ACC5B5" w14:textId="77777777" w:rsidR="005F6573" w:rsidRPr="005F6573" w:rsidRDefault="005F6573" w:rsidP="008D5B1D">
            <w:pPr>
              <w:pStyle w:val="NoSpacing"/>
              <w:jc w:val="left"/>
              <w:rPr>
                <w:rFonts w:asciiTheme="minorHAnsi" w:hAnsiTheme="minorHAnsi" w:cstheme="minorHAnsi"/>
                <w:color w:val="000000"/>
                <w:szCs w:val="24"/>
              </w:rPr>
            </w:pPr>
            <w:r w:rsidRPr="005F6573">
              <w:rPr>
                <w:rFonts w:asciiTheme="minorHAnsi" w:hAnsiTheme="minorHAnsi" w:cstheme="minorHAnsi"/>
                <w:color w:val="000000"/>
                <w:szCs w:val="24"/>
              </w:rPr>
              <w:t>BMD tulang belakang atau pinggul antara 1,0 dan 2,5 SD di bawah rata-rata referensi wanita dewasa muda (-2,5 SD &lt; skor T &lt; –1,0 SD)</w:t>
            </w:r>
          </w:p>
        </w:tc>
      </w:tr>
      <w:tr w:rsidR="005F6573" w:rsidRPr="005F6573" w14:paraId="690CF561" w14:textId="77777777" w:rsidTr="008D5B1D">
        <w:tc>
          <w:tcPr>
            <w:tcW w:w="1287" w:type="dxa"/>
            <w:tcBorders>
              <w:top w:val="nil"/>
              <w:left w:val="nil"/>
              <w:bottom w:val="nil"/>
              <w:right w:val="nil"/>
            </w:tcBorders>
          </w:tcPr>
          <w:p w14:paraId="4B527670" w14:textId="77777777" w:rsidR="005F6573" w:rsidRPr="005F6573" w:rsidRDefault="005F6573" w:rsidP="008D5B1D">
            <w:pPr>
              <w:pStyle w:val="NoSpacing"/>
              <w:jc w:val="left"/>
              <w:rPr>
                <w:rFonts w:asciiTheme="minorHAnsi" w:hAnsiTheme="minorHAnsi" w:cstheme="minorHAnsi"/>
                <w:color w:val="000000"/>
                <w:szCs w:val="24"/>
              </w:rPr>
            </w:pPr>
            <w:r w:rsidRPr="005F6573">
              <w:rPr>
                <w:rFonts w:asciiTheme="minorHAnsi" w:hAnsiTheme="minorHAnsi" w:cstheme="minorHAnsi"/>
                <w:color w:val="000000"/>
                <w:szCs w:val="24"/>
              </w:rPr>
              <w:t>Osteoporosis</w:t>
            </w:r>
          </w:p>
        </w:tc>
        <w:tc>
          <w:tcPr>
            <w:tcW w:w="2952" w:type="dxa"/>
            <w:tcBorders>
              <w:top w:val="nil"/>
              <w:left w:val="nil"/>
              <w:bottom w:val="nil"/>
              <w:right w:val="nil"/>
            </w:tcBorders>
          </w:tcPr>
          <w:p w14:paraId="35967B82" w14:textId="77777777" w:rsidR="005F6573" w:rsidRPr="005F6573" w:rsidRDefault="005F6573" w:rsidP="008D5B1D">
            <w:pPr>
              <w:pStyle w:val="NoSpacing"/>
              <w:jc w:val="left"/>
              <w:rPr>
                <w:rFonts w:asciiTheme="minorHAnsi" w:hAnsiTheme="minorHAnsi" w:cstheme="minorHAnsi"/>
                <w:color w:val="000000"/>
                <w:szCs w:val="24"/>
              </w:rPr>
            </w:pPr>
            <w:r w:rsidRPr="005F6573">
              <w:rPr>
                <w:rFonts w:asciiTheme="minorHAnsi" w:hAnsiTheme="minorHAnsi" w:cstheme="minorHAnsi"/>
                <w:color w:val="000000"/>
                <w:szCs w:val="24"/>
              </w:rPr>
              <w:t>BMD tulang belakang atau pinggul ≥ 2,5 SD di bawah rata-rata referensi wanita dewasa muda (skor T ≤ –2,5 SD)</w:t>
            </w:r>
          </w:p>
        </w:tc>
      </w:tr>
      <w:tr w:rsidR="005F6573" w:rsidRPr="005F6573" w14:paraId="2E313031" w14:textId="77777777" w:rsidTr="008D5B1D">
        <w:tc>
          <w:tcPr>
            <w:tcW w:w="1287" w:type="dxa"/>
            <w:tcBorders>
              <w:top w:val="nil"/>
              <w:left w:val="nil"/>
              <w:right w:val="nil"/>
            </w:tcBorders>
          </w:tcPr>
          <w:p w14:paraId="312E6B32" w14:textId="77777777" w:rsidR="005F6573" w:rsidRPr="005F6573" w:rsidRDefault="005F6573" w:rsidP="008D5B1D">
            <w:pPr>
              <w:pStyle w:val="NoSpacing"/>
              <w:jc w:val="left"/>
              <w:rPr>
                <w:rFonts w:asciiTheme="minorHAnsi" w:hAnsiTheme="minorHAnsi" w:cstheme="minorHAnsi"/>
                <w:color w:val="000000"/>
                <w:szCs w:val="24"/>
              </w:rPr>
            </w:pPr>
            <w:r w:rsidRPr="005F6573">
              <w:rPr>
                <w:rFonts w:asciiTheme="minorHAnsi" w:hAnsiTheme="minorHAnsi" w:cstheme="minorHAnsi"/>
                <w:color w:val="000000"/>
                <w:szCs w:val="24"/>
              </w:rPr>
              <w:t>Osteoporosis berat (</w:t>
            </w:r>
            <w:r w:rsidRPr="005F6573">
              <w:rPr>
                <w:rFonts w:asciiTheme="minorHAnsi" w:hAnsiTheme="minorHAnsi" w:cstheme="minorHAnsi"/>
                <w:i/>
                <w:iCs/>
                <w:color w:val="000000"/>
                <w:szCs w:val="24"/>
              </w:rPr>
              <w:t>severe osteoporosis</w:t>
            </w:r>
            <w:r w:rsidRPr="005F6573">
              <w:rPr>
                <w:rFonts w:asciiTheme="minorHAnsi" w:hAnsiTheme="minorHAnsi" w:cstheme="minorHAnsi"/>
                <w:color w:val="000000"/>
                <w:szCs w:val="24"/>
              </w:rPr>
              <w:t>)</w:t>
            </w:r>
          </w:p>
        </w:tc>
        <w:tc>
          <w:tcPr>
            <w:tcW w:w="2952" w:type="dxa"/>
            <w:tcBorders>
              <w:top w:val="nil"/>
              <w:left w:val="nil"/>
              <w:right w:val="nil"/>
            </w:tcBorders>
          </w:tcPr>
          <w:p w14:paraId="5CD338A6" w14:textId="77777777" w:rsidR="005F6573" w:rsidRPr="005F6573" w:rsidRDefault="005F6573" w:rsidP="008D5B1D">
            <w:pPr>
              <w:pStyle w:val="NoSpacing"/>
              <w:jc w:val="left"/>
              <w:rPr>
                <w:rFonts w:asciiTheme="minorHAnsi" w:hAnsiTheme="minorHAnsi" w:cstheme="minorHAnsi"/>
                <w:color w:val="000000"/>
                <w:szCs w:val="24"/>
              </w:rPr>
            </w:pPr>
            <w:r w:rsidRPr="005F6573">
              <w:rPr>
                <w:rFonts w:asciiTheme="minorHAnsi" w:hAnsiTheme="minorHAnsi" w:cstheme="minorHAnsi"/>
                <w:color w:val="000000"/>
                <w:szCs w:val="24"/>
              </w:rPr>
              <w:t>BMD ≥ 2,5 SD di bawah rata-rata referensi wanita dewasa muda dan adanya satu atau lebih fraktur kerapuhan</w:t>
            </w:r>
          </w:p>
        </w:tc>
      </w:tr>
    </w:tbl>
    <w:p w14:paraId="30129341" w14:textId="77777777" w:rsidR="005F6573" w:rsidRPr="005F6573" w:rsidRDefault="005F6573" w:rsidP="005F6573">
      <w:pPr>
        <w:pStyle w:val="NoSpacing"/>
        <w:rPr>
          <w:rFonts w:asciiTheme="minorHAnsi" w:hAnsiTheme="minorHAnsi" w:cstheme="minorHAnsi"/>
          <w:color w:val="000000"/>
          <w:szCs w:val="24"/>
        </w:rPr>
      </w:pPr>
      <w:r w:rsidRPr="005F6573">
        <w:rPr>
          <w:rFonts w:asciiTheme="minorHAnsi" w:hAnsiTheme="minorHAnsi" w:cstheme="minorHAnsi"/>
          <w:color w:val="000000"/>
          <w:szCs w:val="24"/>
        </w:rPr>
        <w:t>Keterangan:</w:t>
      </w:r>
    </w:p>
    <w:p w14:paraId="53A7FB14" w14:textId="77777777" w:rsidR="005F6573" w:rsidRPr="005F6573" w:rsidRDefault="005F6573" w:rsidP="005F6573">
      <w:pPr>
        <w:pStyle w:val="NoSpacing"/>
        <w:spacing w:after="120"/>
        <w:rPr>
          <w:rFonts w:asciiTheme="minorHAnsi" w:hAnsiTheme="minorHAnsi" w:cstheme="minorHAnsi"/>
          <w:color w:val="000000"/>
          <w:szCs w:val="24"/>
        </w:rPr>
      </w:pPr>
      <w:r w:rsidRPr="005F6573">
        <w:rPr>
          <w:rFonts w:asciiTheme="minorHAnsi" w:hAnsiTheme="minorHAnsi" w:cstheme="minorHAnsi"/>
          <w:color w:val="000000"/>
          <w:szCs w:val="24"/>
        </w:rPr>
        <w:t>SD: Standar Deviasi</w:t>
      </w:r>
    </w:p>
    <w:p w14:paraId="370A6B38" w14:textId="286310A1" w:rsidR="008B6CA8" w:rsidRPr="005F6573" w:rsidRDefault="005F6573">
      <w:pPr>
        <w:rPr>
          <w:sz w:val="24"/>
          <w:szCs w:val="24"/>
          <w:lang w:val="en-US"/>
        </w:rPr>
      </w:pPr>
      <w:proofErr w:type="spellStart"/>
      <w:r w:rsidRPr="005F6573">
        <w:rPr>
          <w:sz w:val="24"/>
          <w:szCs w:val="24"/>
          <w:lang w:val="en-US"/>
        </w:rPr>
        <w:t>Referensi</w:t>
      </w:r>
      <w:proofErr w:type="spellEnd"/>
      <w:r w:rsidRPr="005F6573">
        <w:rPr>
          <w:sz w:val="24"/>
          <w:szCs w:val="24"/>
          <w:lang w:val="en-US"/>
        </w:rPr>
        <w:t>:</w:t>
      </w:r>
    </w:p>
    <w:p w14:paraId="7B81C65A" w14:textId="64526AEE" w:rsidR="005F6573" w:rsidRPr="005F6573" w:rsidRDefault="005F6573" w:rsidP="005F6573">
      <w:pPr>
        <w:jc w:val="both"/>
        <w:rPr>
          <w:sz w:val="24"/>
          <w:szCs w:val="24"/>
          <w:lang w:val="en-US"/>
        </w:rPr>
      </w:pPr>
      <w:r w:rsidRPr="005F6573">
        <w:rPr>
          <w:sz w:val="24"/>
          <w:szCs w:val="24"/>
          <w:lang w:val="en-US"/>
        </w:rPr>
        <w:t xml:space="preserve">2. </w:t>
      </w:r>
      <w:r w:rsidRPr="00447FC3">
        <w:rPr>
          <w:rFonts w:cstheme="minorHAnsi"/>
          <w:noProof/>
          <w:color w:val="000000" w:themeColor="text1"/>
          <w:lang w:val="en-US"/>
        </w:rPr>
        <w:t>Gregson CL, David JA, Jean B, Cyrus C, John E, Neil JLG, Nicholas H, et al. 2022. UK clinical guideline for the prevention and treatment of osteoporosis. Archives of Osteoporosis. 17 (58): 1-46.</w:t>
      </w:r>
    </w:p>
    <w:sectPr w:rsidR="005F6573" w:rsidRPr="005F6573" w:rsidSect="00292722">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573"/>
    <w:rsid w:val="00292722"/>
    <w:rsid w:val="00327850"/>
    <w:rsid w:val="005F6573"/>
    <w:rsid w:val="007E4A1F"/>
    <w:rsid w:val="008B6CA8"/>
    <w:rsid w:val="00A86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5B366"/>
  <w15:chartTrackingRefBased/>
  <w15:docId w15:val="{0CC34BE9-FD8F-4558-B22D-E2BAAD80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573"/>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6573"/>
    <w:pPr>
      <w:spacing w:after="0" w:line="240" w:lineRule="auto"/>
      <w:jc w:val="both"/>
    </w:pPr>
    <w:rPr>
      <w:rFonts w:ascii="Times New Roman" w:eastAsia="Times New Roman" w:hAnsi="Times New Roman" w:cs="Calibri"/>
      <w:noProof/>
      <w:sz w:val="24"/>
      <w:lang w:val="en-ID" w:eastAsia="en-ID"/>
    </w:rPr>
  </w:style>
  <w:style w:type="table" w:styleId="TableGrid">
    <w:name w:val="Table Grid"/>
    <w:basedOn w:val="TableNormal"/>
    <w:uiPriority w:val="39"/>
    <w:rsid w:val="005F6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Christianto</dc:creator>
  <cp:keywords/>
  <dc:description/>
  <cp:lastModifiedBy>Daniel Christianto</cp:lastModifiedBy>
  <cp:revision>2</cp:revision>
  <dcterms:created xsi:type="dcterms:W3CDTF">2023-04-01T15:20:00Z</dcterms:created>
  <dcterms:modified xsi:type="dcterms:W3CDTF">2023-04-01T15:20:00Z</dcterms:modified>
</cp:coreProperties>
</file>