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62E5" w14:textId="77777777" w:rsidR="00F11955" w:rsidRPr="00F11955" w:rsidRDefault="00F11955" w:rsidP="00F11955">
      <w:pPr>
        <w:spacing w:after="0" w:line="240" w:lineRule="auto"/>
        <w:ind w:firstLine="720"/>
        <w:jc w:val="both"/>
        <w:rPr>
          <w:rFonts w:cstheme="minorHAnsi"/>
          <w:sz w:val="24"/>
          <w:szCs w:val="24"/>
        </w:rPr>
      </w:pPr>
    </w:p>
    <w:p w14:paraId="56C8E5A0" w14:textId="3BE2D4EC" w:rsidR="00F11955" w:rsidRPr="00F11955" w:rsidRDefault="00F11955" w:rsidP="00F11955">
      <w:pPr>
        <w:spacing w:after="120" w:line="240" w:lineRule="auto"/>
        <w:jc w:val="center"/>
        <w:rPr>
          <w:rFonts w:cstheme="minorHAnsi"/>
          <w:sz w:val="24"/>
          <w:szCs w:val="24"/>
        </w:rPr>
      </w:pPr>
      <w:proofErr w:type="spellStart"/>
      <w:r w:rsidRPr="00F11955">
        <w:rPr>
          <w:rFonts w:cstheme="minorHAnsi"/>
          <w:sz w:val="24"/>
          <w:szCs w:val="24"/>
        </w:rPr>
        <w:t>Tabel</w:t>
      </w:r>
      <w:proofErr w:type="spellEnd"/>
      <w:r w:rsidRPr="00F11955">
        <w:rPr>
          <w:rFonts w:cstheme="minorHAnsi"/>
          <w:sz w:val="24"/>
          <w:szCs w:val="24"/>
        </w:rPr>
        <w:t xml:space="preserve"> 1. </w:t>
      </w:r>
      <w:proofErr w:type="spellStart"/>
      <w:r w:rsidRPr="00F11955">
        <w:rPr>
          <w:rFonts w:cstheme="minorHAnsi"/>
          <w:sz w:val="24"/>
          <w:szCs w:val="24"/>
        </w:rPr>
        <w:t>Perbandingan</w:t>
      </w:r>
      <w:proofErr w:type="spellEnd"/>
      <w:r w:rsidRPr="00F11955">
        <w:rPr>
          <w:rFonts w:cstheme="minorHAnsi"/>
          <w:sz w:val="24"/>
          <w:szCs w:val="24"/>
        </w:rPr>
        <w:t xml:space="preserve"> </w:t>
      </w:r>
      <w:proofErr w:type="spellStart"/>
      <w:r w:rsidRPr="00F11955">
        <w:rPr>
          <w:rFonts w:cstheme="minorHAnsi"/>
          <w:sz w:val="24"/>
          <w:szCs w:val="24"/>
        </w:rPr>
        <w:t>metode</w:t>
      </w:r>
      <w:proofErr w:type="spellEnd"/>
      <w:r w:rsidRPr="00F11955">
        <w:rPr>
          <w:rFonts w:cstheme="minorHAnsi"/>
          <w:sz w:val="24"/>
          <w:szCs w:val="24"/>
        </w:rPr>
        <w:t xml:space="preserve"> </w:t>
      </w:r>
      <w:proofErr w:type="spellStart"/>
      <w:r w:rsidRPr="00F11955">
        <w:rPr>
          <w:rFonts w:cstheme="minorHAnsi"/>
          <w:sz w:val="24"/>
          <w:szCs w:val="24"/>
        </w:rPr>
        <w:t>mikrobiologi</w:t>
      </w:r>
      <w:proofErr w:type="spellEnd"/>
      <w:r w:rsidRPr="00F11955">
        <w:rPr>
          <w:rFonts w:cstheme="minorHAnsi"/>
          <w:sz w:val="24"/>
          <w:szCs w:val="24"/>
        </w:rPr>
        <w:t xml:space="preserve">, HPLC dan </w:t>
      </w:r>
      <w:r w:rsidRPr="00F11955">
        <w:rPr>
          <w:rFonts w:cstheme="minorHAnsi"/>
          <w:i/>
          <w:iCs/>
          <w:sz w:val="24"/>
          <w:szCs w:val="24"/>
        </w:rPr>
        <w:t>protein binding assay</w:t>
      </w:r>
      <w:r w:rsidRPr="00F11955">
        <w:rPr>
          <w:rFonts w:cstheme="minorHAnsi"/>
          <w:sz w:val="24"/>
          <w:szCs w:val="24"/>
          <w:vertAlign w:val="subscript"/>
        </w:rPr>
        <w:fldChar w:fldCharType="begin" w:fldLock="1"/>
      </w:r>
      <w:r w:rsidRPr="00F11955">
        <w:rPr>
          <w:rFonts w:cstheme="minorHAnsi"/>
          <w:sz w:val="24"/>
          <w:szCs w:val="24"/>
          <w:vertAlign w:val="subscript"/>
        </w:rPr>
        <w:instrText>ADDIN CSL_CITATION {"citationItems":[{"id":"ITEM-1","itemData":{"DOI":"10.1182/blood-2018-99-111607","ISSN":"0006-4971","abstract":"Study ObjectiveAccording to the National Health and Nutrition Examination Survey (NHANES) data from 2003-2006 the prevalence of folic acid deficiency in the United States has decreased from 16% to 0.5% since the dietary folic acid fortification program started in the late 1990s. Routine testing for folic acid deficiency remains quite common in the workup of anemia, dementia, alcoholism and other high risk populations. The objective for this study were to determine the prevalence of folic acid deficiency in order to analyze whether routine testing for deficiency should be discouraged or targeted to specific patient populations. In addition to this, we want to assess the economic burden that folic acid level testing adds to the high cost of care of our health system.MethodsCross sectional chart review of all adults tested for folic acid level from March 2014 to March 2015 from the Hospital and Ambulatory Care Center of the Community Hospital was undertaken. Folic acid deficiency was defined as ≤4ng/dl. Folic acid level were further classified as low (≤10ng/dl ), intermediate (10-20ng/dl) and high (&amp;gt;20ng/dl). Age, race, body mass index, hemoglobin, mean corpuscular volume levels and billing details were recorded of all patients and information was also collected regarding known conditions correlated to the folic acid levels including Vitamin B12 deficiency( &amp;lt;300 ng/dl), dementia, alcoholism, pregnancy malabsorption, sickle cell disease, bariatric surgery, inflammatory bowel syndrome, and drug therapy with HAART (Highly Active Anti-Retroviral Therapy) , TMP-SMX(Trimethoprim/sulfamethoxazole), phenytoin, valproic acid and/or methotrexate (Table 1). Statistical testing using t-test, logistic / linear regressions with α level at 0.05 was used for analysis of data.ResultsA total of 957 charts of patients who were tested for folic acid between March 2014 to March 2015 at our Heath- Care System were reviewed. 413 (43%) patients were male and 544 (57%) were female. There were 394 (41 %) Hispanics, 325 (34%) African American, 202 (21%) Caucasian and 36 (4%) were from other ethnicity. The mean age was 59.7 years and a mean Hb was 11. 6 g/ dl.Mean folic acid level was 14.5 ng/dl. 16 patients from total of 957 (2 %) had folic acid deficiency with value ≤4ng/dl . Additional results from the study are described in Table 1, Table 2 and Table 3.ConclusionThe prevalence of folic acid deficiency was 2%, About 33,000 dollars per year were used to identify such a low pr…","author":[{"dropping-particle":"","family":"Diaz","given":"Karina","non-dropping-particle":"","parse-names":false,"suffix":""},{"dropping-particle":"","family":"Na","given":"Zhu","non-dropping-particle":"","parse-names":false,"suffix":""},{"dropping-particle":"","family":"Gupta","given":"Sorab","non-dropping-particle":"","parse-names":false,"suffix":""},{"dropping-particle":"","family":"Arya","given":"Vikram","non-dropping-particle":"","parse-names":false,"suffix":""},{"dropping-particle":"","family":"Martinez","given":"Lourdes","non-dropping-particle":"","parse-names":false,"suffix":""},{"dropping-particle":"","family":"Dhaliwal","given":"Supreet","non-dropping-particle":"","parse-names":false,"suffix":""},{"dropping-particle":"","family":"Ajdir","given":"Nora","non-dropping-particle":"","parse-names":false,"suffix":""},{"dropping-particle":"","family":"Gaglani","given":"Bhavita","non-dropping-particle":"","parse-names":false,"suffix":""},{"dropping-particle":"","family":"Ahuja","given":"Shradha","non-dropping-particle":"","parse-names":false,"suffix":""},{"dropping-particle":"","family":"Fulger","given":"Ilmana","non-dropping-particle":"","parse-names":false,"suffix":""}],"container-title":"Blood","id":"ITEM-1","issue":"Supplement 1","issued":{"date-parts":[["2018","11","29"]]},"page":"4878","title":"Prevalence of Folic Acid Deficiency and Cost Effectiveness of Folic Acid Testing: A Single Center Experience","type":"article-journal","volume":"132"},"uris":["http://www.mendeley.com/documents/?uuid=5c359e8b-4c52-4033-a1fd-561ab5010c6f"]},{"id":"ITEM-2","itemData":{"DOI":"10.1002/jhm.1994","ISSN":"15535592","PMID":"23169580","abstract":"BACKGROUND: Serum folate levels are commonly ordered for multiple indications in the inpatient and emergency department settings. Since mandatory folic acid fortification in 1998, there has been a decreasing prevalence of folate deficiency in the United States. OBJECTIVE: Our objective was to determine the indications, rate of deficiency, charge and cost per deficient result, and change in management per deficient result in serum folate testing in inpatients and emergency department patients. DESIGN: Retrospective analysis of all inpatient and emergency department serum folate tests. METHODS: We analyzed all inpatient and emergency department serum folate tests performed over a 12-month period. We reviewed the charts of 250 patients and all low-normal or deficient serum folate levels to determine indications, comorbidities, and change in management based on result. Charge and cost analyses were performed. SETTING/PATIENTS: All inpatient and emergency department patients with a serum folate test performed at a major medical center in Boston, Massachusetts. RESULTS: A total of 2093 serum folate tests were performed in 1944 patients with 2 deficient levels. The most common indications were anemia without macrocytosis and anemia with macrocytosis. The amount charged per deficient result was $158,022. The cost to the hospital per deficient result was less than $2093. CONCLUSIONS: In folic acid fortified countries, serum folate testing has low utility and poor cost effectiveness for all indications in inpatients and emergency department patients. Journal of Hospital Medicine 2013;8:91-95. © 2012 Society of Hospital Medicine.","author":[{"dropping-particle":"","family":"Theisen-Toupal","given":"Jesse","non-dropping-particle":"","parse-names":false,"suffix":""},{"dropping-particle":"","family":"Horowitz","given":"Gary L.","non-dropping-particle":"","parse-names":false,"suffix":""},{"dropping-particle":"","family":"Breu","given":"Anthony C.","non-dropping-particle":"","parse-names":false,"suffix":""}],"container-title":"Journal of Hospital Medicine","id":"ITEM-2","issue":"2","issued":{"date-parts":[["2013"]]},"page":"91-95","title":"Utility, charge, and cost of inpatient and emergency department serum folate testing","type":"article-journal","volume":"8"},"uris":["http://www.mendeley.com/documents/?uuid=6394af07-215e-4845-8678-0a5cc3efa2a8"]},{"id":"ITEM-3","itemData":{"DOI":"10.1017/S0022029913000149","ISSN":"0022-0299","PMID":"23506679","abstract":"A concurrent determination of folate versus folic acid in milk by microbiological assay (MA) with Lactobacillus rhamnosus as the assay organism, Enzyme Linked Immuno Sorbent Assay (ELISA) by competitive binding rapid ELISA kit (RIDASCREEN ® ) and high-pressure-liquid chromatography (HPLC) was done for detection of the folate form and its level. MA gave total folate content as Lb. rhamnosus showed similar response to most folate isomers formed by the tri-enzyme treatment in comparison with the other two methods which specifically estimated the folic acid. In case of ELISA, specificity was apparently limited to folic acid and dihydro folic acid and thereby showed a lower response for other folate derivatives. Estimation by HPLC with UV detector was highly specific and hence only folic acid could be detected without any cross reactivity. Among the different methods HPLC was observed to be the most sensitive method for determination of folic acid and hence can efficiently determine the folic acid fortification level while MA remained highly efficient, sensitive and reproducible method for estimation of total folate indicating its potential use for dietary folate estimation.","author":[{"dropping-particle":"","family":"Iyer","given":"Ramya","non-dropping-particle":"","parse-names":false,"suffix":""},{"dropping-particle":"","family":"Tomar","given":"Sudhir Kumar","non-dropping-particle":"","parse-names":false,"suffix":""}],"container-title":"Journal of Dairy Research","id":"ITEM-3","issue":"2","issued":{"date-parts":[["2013","5","18"]]},"page":"233-239","title":"Determination of folate/folic acid level in milk by microbiological assay, immuno assay and high performance liquid chromatography","type":"article-journal","volume":"80"},"uris":["http://www.mendeley.com/documents/?uuid=192a0dfb-6dff-4c2c-bb6a-baaa73c8cbd6"]},{"id":"ITEM-4","itemData":{"DOI":"10.1016/j.tifs.2005.03.013","ISSN":"09242244","abstract":"Folates and its derivatives occur as polyglutamates in nature. The multiplicity of forms and the generally low levels in foods makes quantitative analysis of folate a difficult task. The assay of folates from foods generally involves three steps: liberation of folates from the cellular matrix; deconjugation from the polyglutamate to the mono and di-glutamate forms; and the detection of the biological activity or chemical concentration of the resulting folates. The detection methods used are the microbiological assay relying on the turbidimetric bacterial growth of Lactobacillus rhamnosus which is by far the most commonly used method; the HPLC and LC/MS techniques and bio-specific procedures. This review attempts to describe the methods along with the merits and demerits of using each of these methods. © 2005 Elsevier Ltd. All rights reserved.","author":[{"dropping-particle":"","family":"Arcot","given":"Jayashree","non-dropping-particle":"","parse-names":false,"suffix":""},{"dropping-particle":"","family":"Shrestha","given":"Ashok","non-dropping-particle":"","parse-names":false,"suffix":""}],"container-title":"Trends in Food Science and Technology","id":"ITEM-4","issue":"253-266","issued":{"date-parts":[["2005"]]},"title":"Folate: Methods of analysis","type":"article-journal","volume":"16"},"uris":["http://www.mendeley.com/documents/?uuid=84b8e94a-578f-4ea0-ae48-a108e5596cfa"]}],"mendeley":{"formattedCitation":"&lt;sup&gt;13,14,16,17&lt;/sup&gt;","plainTextFormattedCitation":"13,14,16,17","previouslyFormattedCitation":"&lt;sup&gt;13,14,16,17&lt;/sup&gt;"},"properties":{"noteIndex":0},"schema":"https://github.com/citation-style-language/schema/raw/master/csl-citation.json"}</w:instrText>
      </w:r>
      <w:r w:rsidRPr="00F11955">
        <w:rPr>
          <w:rFonts w:cstheme="minorHAnsi"/>
          <w:sz w:val="24"/>
          <w:szCs w:val="24"/>
          <w:vertAlign w:val="subscript"/>
        </w:rPr>
        <w:fldChar w:fldCharType="separate"/>
      </w:r>
      <w:r w:rsidRPr="00F11955">
        <w:rPr>
          <w:rFonts w:cstheme="minorHAnsi"/>
          <w:noProof/>
          <w:sz w:val="24"/>
          <w:szCs w:val="24"/>
          <w:vertAlign w:val="superscript"/>
        </w:rPr>
        <w:t>13,14,16,17</w:t>
      </w:r>
      <w:r w:rsidRPr="00F11955">
        <w:rPr>
          <w:rFonts w:cstheme="minorHAnsi"/>
          <w:sz w:val="24"/>
          <w:szCs w:val="24"/>
          <w:vertAlign w:val="subscript"/>
        </w:rPr>
        <w:fldChar w:fldCharType="end"/>
      </w:r>
    </w:p>
    <w:tbl>
      <w:tblPr>
        <w:tblStyle w:val="TableGrid"/>
        <w:tblW w:w="836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18"/>
        <w:gridCol w:w="2693"/>
        <w:gridCol w:w="2126"/>
        <w:gridCol w:w="2132"/>
      </w:tblGrid>
      <w:tr w:rsidR="00F11955" w:rsidRPr="00F11955" w14:paraId="08EE703C" w14:textId="77777777" w:rsidTr="006260AE">
        <w:trPr>
          <w:jc w:val="center"/>
        </w:trPr>
        <w:tc>
          <w:tcPr>
            <w:tcW w:w="1418" w:type="dxa"/>
            <w:vAlign w:val="center"/>
          </w:tcPr>
          <w:p w14:paraId="741DFD78" w14:textId="77777777" w:rsidR="00F11955" w:rsidRPr="00F11955" w:rsidRDefault="00F11955" w:rsidP="00F11955">
            <w:pPr>
              <w:rPr>
                <w:rFonts w:cstheme="minorHAnsi"/>
                <w:b/>
                <w:bCs/>
                <w:sz w:val="24"/>
                <w:szCs w:val="24"/>
              </w:rPr>
            </w:pPr>
            <w:proofErr w:type="spellStart"/>
            <w:r w:rsidRPr="00F11955">
              <w:rPr>
                <w:rFonts w:cstheme="minorHAnsi"/>
                <w:b/>
                <w:bCs/>
                <w:sz w:val="24"/>
                <w:szCs w:val="24"/>
              </w:rPr>
              <w:t>Metode</w:t>
            </w:r>
            <w:proofErr w:type="spellEnd"/>
          </w:p>
        </w:tc>
        <w:tc>
          <w:tcPr>
            <w:tcW w:w="2693" w:type="dxa"/>
            <w:vAlign w:val="center"/>
          </w:tcPr>
          <w:p w14:paraId="3D91D656" w14:textId="77777777" w:rsidR="00F11955" w:rsidRPr="00F11955" w:rsidRDefault="00F11955" w:rsidP="00F11955">
            <w:pPr>
              <w:rPr>
                <w:rFonts w:cstheme="minorHAnsi"/>
                <w:b/>
                <w:bCs/>
                <w:sz w:val="24"/>
                <w:szCs w:val="24"/>
              </w:rPr>
            </w:pPr>
            <w:proofErr w:type="spellStart"/>
            <w:r w:rsidRPr="00F11955">
              <w:rPr>
                <w:rFonts w:cstheme="minorHAnsi"/>
                <w:b/>
                <w:bCs/>
                <w:sz w:val="24"/>
                <w:szCs w:val="24"/>
              </w:rPr>
              <w:t>Mikrobiologi</w:t>
            </w:r>
            <w:proofErr w:type="spellEnd"/>
          </w:p>
        </w:tc>
        <w:tc>
          <w:tcPr>
            <w:tcW w:w="2126" w:type="dxa"/>
            <w:vAlign w:val="center"/>
          </w:tcPr>
          <w:p w14:paraId="1ED870E5" w14:textId="77777777" w:rsidR="00F11955" w:rsidRPr="00F11955" w:rsidRDefault="00F11955" w:rsidP="00F11955">
            <w:pPr>
              <w:rPr>
                <w:rFonts w:cstheme="minorHAnsi"/>
                <w:b/>
                <w:bCs/>
                <w:sz w:val="24"/>
                <w:szCs w:val="24"/>
              </w:rPr>
            </w:pPr>
            <w:r w:rsidRPr="00F11955">
              <w:rPr>
                <w:rFonts w:cstheme="minorHAnsi"/>
                <w:b/>
                <w:bCs/>
                <w:sz w:val="24"/>
                <w:szCs w:val="24"/>
              </w:rPr>
              <w:t>HPLC</w:t>
            </w:r>
          </w:p>
        </w:tc>
        <w:tc>
          <w:tcPr>
            <w:tcW w:w="2132" w:type="dxa"/>
            <w:vAlign w:val="center"/>
          </w:tcPr>
          <w:p w14:paraId="706FB7E3" w14:textId="0D85253D" w:rsidR="00F11955" w:rsidRPr="00F11955" w:rsidRDefault="00F11955" w:rsidP="00F11955">
            <w:pPr>
              <w:rPr>
                <w:rFonts w:cstheme="minorHAnsi"/>
                <w:b/>
                <w:bCs/>
                <w:sz w:val="24"/>
                <w:szCs w:val="24"/>
              </w:rPr>
            </w:pPr>
            <w:r w:rsidRPr="00F11955">
              <w:rPr>
                <w:rFonts w:cstheme="minorHAnsi"/>
                <w:b/>
                <w:bCs/>
                <w:sz w:val="24"/>
                <w:szCs w:val="24"/>
              </w:rPr>
              <w:t>Protein binding assay</w:t>
            </w:r>
          </w:p>
        </w:tc>
      </w:tr>
      <w:tr w:rsidR="00F11955" w:rsidRPr="00F11955" w14:paraId="3D7ABAF5" w14:textId="77777777" w:rsidTr="006260AE">
        <w:trPr>
          <w:jc w:val="center"/>
        </w:trPr>
        <w:tc>
          <w:tcPr>
            <w:tcW w:w="1418" w:type="dxa"/>
            <w:tcBorders>
              <w:bottom w:val="nil"/>
            </w:tcBorders>
          </w:tcPr>
          <w:p w14:paraId="3E546F82" w14:textId="77777777" w:rsidR="00F11955" w:rsidRPr="00F11955" w:rsidRDefault="00F11955" w:rsidP="00F11955">
            <w:pPr>
              <w:rPr>
                <w:rFonts w:cstheme="minorHAnsi"/>
                <w:sz w:val="24"/>
                <w:szCs w:val="24"/>
              </w:rPr>
            </w:pPr>
            <w:proofErr w:type="spellStart"/>
            <w:r w:rsidRPr="00F11955">
              <w:rPr>
                <w:rFonts w:cstheme="minorHAnsi"/>
                <w:sz w:val="24"/>
                <w:szCs w:val="24"/>
              </w:rPr>
              <w:t>Prinsip</w:t>
            </w:r>
            <w:proofErr w:type="spellEnd"/>
          </w:p>
        </w:tc>
        <w:tc>
          <w:tcPr>
            <w:tcW w:w="2693" w:type="dxa"/>
            <w:tcBorders>
              <w:bottom w:val="nil"/>
            </w:tcBorders>
          </w:tcPr>
          <w:p w14:paraId="4846B388" w14:textId="77777777" w:rsidR="00F11955" w:rsidRPr="00F11955" w:rsidRDefault="00F11955" w:rsidP="00F11955">
            <w:pPr>
              <w:rPr>
                <w:rFonts w:cstheme="minorHAnsi"/>
                <w:sz w:val="24"/>
                <w:szCs w:val="24"/>
              </w:rPr>
            </w:pPr>
            <w:r w:rsidRPr="00F11955">
              <w:rPr>
                <w:rFonts w:cstheme="minorHAnsi"/>
                <w:sz w:val="24"/>
                <w:szCs w:val="24"/>
              </w:rPr>
              <w:t xml:space="preserve">Kadar </w:t>
            </w:r>
            <w:proofErr w:type="spellStart"/>
            <w:r w:rsidRPr="00F11955">
              <w:rPr>
                <w:rFonts w:cstheme="minorHAnsi"/>
                <w:sz w:val="24"/>
                <w:szCs w:val="24"/>
              </w:rPr>
              <w:t>folat</w:t>
            </w:r>
            <w:proofErr w:type="spellEnd"/>
            <w:r w:rsidRPr="00F11955">
              <w:rPr>
                <w:rFonts w:cstheme="minorHAnsi"/>
                <w:sz w:val="24"/>
                <w:szCs w:val="24"/>
              </w:rPr>
              <w:t xml:space="preserve"> </w:t>
            </w:r>
            <w:proofErr w:type="spellStart"/>
            <w:r w:rsidRPr="00F11955">
              <w:rPr>
                <w:rFonts w:cstheme="minorHAnsi"/>
                <w:sz w:val="24"/>
                <w:szCs w:val="24"/>
              </w:rPr>
              <w:t>sebanding</w:t>
            </w:r>
            <w:proofErr w:type="spellEnd"/>
            <w:r w:rsidRPr="00F11955">
              <w:rPr>
                <w:rFonts w:cstheme="minorHAnsi"/>
                <w:sz w:val="24"/>
                <w:szCs w:val="24"/>
              </w:rPr>
              <w:t xml:space="preserve"> </w:t>
            </w:r>
            <w:proofErr w:type="spellStart"/>
            <w:r w:rsidRPr="00F11955">
              <w:rPr>
                <w:rFonts w:cstheme="minorHAnsi"/>
                <w:sz w:val="24"/>
                <w:szCs w:val="24"/>
              </w:rPr>
              <w:t>dengan</w:t>
            </w:r>
            <w:proofErr w:type="spellEnd"/>
            <w:r w:rsidRPr="00F11955">
              <w:rPr>
                <w:rFonts w:cstheme="minorHAnsi"/>
                <w:sz w:val="24"/>
                <w:szCs w:val="24"/>
              </w:rPr>
              <w:t xml:space="preserve"> </w:t>
            </w:r>
            <w:proofErr w:type="spellStart"/>
            <w:r w:rsidRPr="00F11955">
              <w:rPr>
                <w:rFonts w:cstheme="minorHAnsi"/>
                <w:sz w:val="24"/>
                <w:szCs w:val="24"/>
              </w:rPr>
              <w:t>pertumbuhan</w:t>
            </w:r>
            <w:proofErr w:type="spellEnd"/>
            <w:r w:rsidRPr="00F11955">
              <w:rPr>
                <w:rFonts w:cstheme="minorHAnsi"/>
                <w:sz w:val="24"/>
                <w:szCs w:val="24"/>
              </w:rPr>
              <w:t xml:space="preserve"> </w:t>
            </w:r>
            <w:proofErr w:type="spellStart"/>
            <w:r w:rsidRPr="00F11955">
              <w:rPr>
                <w:rFonts w:cstheme="minorHAnsi"/>
                <w:sz w:val="24"/>
                <w:szCs w:val="24"/>
              </w:rPr>
              <w:t>mikroorganisme</w:t>
            </w:r>
            <w:proofErr w:type="spellEnd"/>
          </w:p>
        </w:tc>
        <w:tc>
          <w:tcPr>
            <w:tcW w:w="2126" w:type="dxa"/>
            <w:tcBorders>
              <w:bottom w:val="nil"/>
            </w:tcBorders>
          </w:tcPr>
          <w:p w14:paraId="5B62320F" w14:textId="77777777" w:rsidR="00F11955" w:rsidRPr="00F11955" w:rsidRDefault="00F11955" w:rsidP="00F11955">
            <w:pPr>
              <w:rPr>
                <w:rFonts w:cstheme="minorHAnsi"/>
                <w:sz w:val="24"/>
                <w:szCs w:val="24"/>
              </w:rPr>
            </w:pPr>
            <w:proofErr w:type="spellStart"/>
            <w:r w:rsidRPr="00F11955">
              <w:rPr>
                <w:rFonts w:cstheme="minorHAnsi"/>
                <w:sz w:val="24"/>
                <w:szCs w:val="24"/>
              </w:rPr>
              <w:t>Pemisahan</w:t>
            </w:r>
            <w:proofErr w:type="spellEnd"/>
            <w:r w:rsidRPr="00F11955">
              <w:rPr>
                <w:rFonts w:cstheme="minorHAnsi"/>
                <w:sz w:val="24"/>
                <w:szCs w:val="24"/>
              </w:rPr>
              <w:t xml:space="preserve"> </w:t>
            </w:r>
            <w:proofErr w:type="spellStart"/>
            <w:r w:rsidRPr="00F11955">
              <w:rPr>
                <w:rFonts w:cstheme="minorHAnsi"/>
                <w:sz w:val="24"/>
                <w:szCs w:val="24"/>
              </w:rPr>
              <w:t>secara</w:t>
            </w:r>
            <w:proofErr w:type="spellEnd"/>
            <w:r w:rsidRPr="00F11955">
              <w:rPr>
                <w:rFonts w:cstheme="minorHAnsi"/>
                <w:sz w:val="24"/>
                <w:szCs w:val="24"/>
              </w:rPr>
              <w:t xml:space="preserve"> </w:t>
            </w:r>
            <w:proofErr w:type="spellStart"/>
            <w:r w:rsidRPr="00F11955">
              <w:rPr>
                <w:rFonts w:cstheme="minorHAnsi"/>
                <w:sz w:val="24"/>
                <w:szCs w:val="24"/>
              </w:rPr>
              <w:t>kromatografi</w:t>
            </w:r>
            <w:proofErr w:type="spellEnd"/>
            <w:r w:rsidRPr="00F11955">
              <w:rPr>
                <w:rFonts w:cstheme="minorHAnsi"/>
                <w:sz w:val="24"/>
                <w:szCs w:val="24"/>
              </w:rPr>
              <w:t xml:space="preserve"> dan </w:t>
            </w:r>
            <w:proofErr w:type="spellStart"/>
            <w:r w:rsidRPr="00F11955">
              <w:rPr>
                <w:rFonts w:cstheme="minorHAnsi"/>
                <w:sz w:val="24"/>
                <w:szCs w:val="24"/>
              </w:rPr>
              <w:t>deteksi</w:t>
            </w:r>
            <w:proofErr w:type="spellEnd"/>
            <w:r w:rsidRPr="00F11955">
              <w:rPr>
                <w:rFonts w:cstheme="minorHAnsi"/>
                <w:sz w:val="24"/>
                <w:szCs w:val="24"/>
              </w:rPr>
              <w:t xml:space="preserve"> </w:t>
            </w:r>
            <w:proofErr w:type="spellStart"/>
            <w:r w:rsidRPr="00F11955">
              <w:rPr>
                <w:rFonts w:cstheme="minorHAnsi"/>
                <w:sz w:val="24"/>
                <w:szCs w:val="24"/>
              </w:rPr>
              <w:t>folat</w:t>
            </w:r>
            <w:proofErr w:type="spellEnd"/>
            <w:r w:rsidRPr="00F11955">
              <w:rPr>
                <w:rFonts w:cstheme="minorHAnsi"/>
                <w:sz w:val="24"/>
                <w:szCs w:val="24"/>
              </w:rPr>
              <w:t xml:space="preserve"> </w:t>
            </w:r>
            <w:proofErr w:type="spellStart"/>
            <w:r w:rsidRPr="00F11955">
              <w:rPr>
                <w:rFonts w:cstheme="minorHAnsi"/>
                <w:sz w:val="24"/>
                <w:szCs w:val="24"/>
              </w:rPr>
              <w:t>berdasarkan</w:t>
            </w:r>
            <w:proofErr w:type="spellEnd"/>
            <w:r w:rsidRPr="00F11955">
              <w:rPr>
                <w:rFonts w:cstheme="minorHAnsi"/>
                <w:sz w:val="24"/>
                <w:szCs w:val="24"/>
              </w:rPr>
              <w:t xml:space="preserve"> </w:t>
            </w:r>
            <w:proofErr w:type="spellStart"/>
            <w:r w:rsidRPr="00F11955">
              <w:rPr>
                <w:rFonts w:cstheme="minorHAnsi"/>
                <w:sz w:val="24"/>
                <w:szCs w:val="24"/>
              </w:rPr>
              <w:t>standar</w:t>
            </w:r>
            <w:proofErr w:type="spellEnd"/>
          </w:p>
        </w:tc>
        <w:tc>
          <w:tcPr>
            <w:tcW w:w="2132" w:type="dxa"/>
            <w:tcBorders>
              <w:bottom w:val="nil"/>
            </w:tcBorders>
          </w:tcPr>
          <w:p w14:paraId="6127587E" w14:textId="77777777" w:rsidR="00F11955" w:rsidRPr="00F11955" w:rsidRDefault="00F11955" w:rsidP="00F11955">
            <w:pPr>
              <w:rPr>
                <w:rFonts w:cstheme="minorHAnsi"/>
                <w:sz w:val="24"/>
                <w:szCs w:val="24"/>
              </w:rPr>
            </w:pPr>
            <w:proofErr w:type="spellStart"/>
            <w:r w:rsidRPr="00F11955">
              <w:rPr>
                <w:rFonts w:cstheme="minorHAnsi"/>
                <w:sz w:val="24"/>
                <w:szCs w:val="24"/>
              </w:rPr>
              <w:t>Adanya</w:t>
            </w:r>
            <w:proofErr w:type="spellEnd"/>
            <w:r w:rsidRPr="00F11955">
              <w:rPr>
                <w:rFonts w:cstheme="minorHAnsi"/>
                <w:sz w:val="24"/>
                <w:szCs w:val="24"/>
              </w:rPr>
              <w:t xml:space="preserve"> </w:t>
            </w:r>
            <w:proofErr w:type="spellStart"/>
            <w:r w:rsidRPr="00F11955">
              <w:rPr>
                <w:rFonts w:cstheme="minorHAnsi"/>
                <w:sz w:val="24"/>
                <w:szCs w:val="24"/>
              </w:rPr>
              <w:t>ikatan</w:t>
            </w:r>
            <w:proofErr w:type="spellEnd"/>
            <w:r w:rsidRPr="00F11955">
              <w:rPr>
                <w:rFonts w:cstheme="minorHAnsi"/>
                <w:sz w:val="24"/>
                <w:szCs w:val="24"/>
              </w:rPr>
              <w:t xml:space="preserve"> </w:t>
            </w:r>
            <w:proofErr w:type="spellStart"/>
            <w:r w:rsidRPr="00F11955">
              <w:rPr>
                <w:rFonts w:cstheme="minorHAnsi"/>
                <w:sz w:val="24"/>
                <w:szCs w:val="24"/>
              </w:rPr>
              <w:t>folat</w:t>
            </w:r>
            <w:proofErr w:type="spellEnd"/>
            <w:r w:rsidRPr="00F11955">
              <w:rPr>
                <w:rFonts w:cstheme="minorHAnsi"/>
                <w:sz w:val="24"/>
                <w:szCs w:val="24"/>
              </w:rPr>
              <w:t xml:space="preserve"> </w:t>
            </w:r>
            <w:proofErr w:type="spellStart"/>
            <w:r w:rsidRPr="00F11955">
              <w:rPr>
                <w:rFonts w:cstheme="minorHAnsi"/>
                <w:sz w:val="24"/>
                <w:szCs w:val="24"/>
              </w:rPr>
              <w:t>dengan</w:t>
            </w:r>
            <w:proofErr w:type="spellEnd"/>
            <w:r w:rsidRPr="00F11955">
              <w:rPr>
                <w:rFonts w:cstheme="minorHAnsi"/>
                <w:sz w:val="24"/>
                <w:szCs w:val="24"/>
              </w:rPr>
              <w:t xml:space="preserve"> protein ikat </w:t>
            </w:r>
            <w:proofErr w:type="spellStart"/>
            <w:r w:rsidRPr="00F11955">
              <w:rPr>
                <w:rFonts w:cstheme="minorHAnsi"/>
                <w:sz w:val="24"/>
                <w:szCs w:val="24"/>
              </w:rPr>
              <w:t>folat</w:t>
            </w:r>
            <w:proofErr w:type="spellEnd"/>
          </w:p>
        </w:tc>
      </w:tr>
      <w:tr w:rsidR="00F11955" w:rsidRPr="00F11955" w14:paraId="0CBCE5EE" w14:textId="77777777" w:rsidTr="006260AE">
        <w:trPr>
          <w:jc w:val="center"/>
        </w:trPr>
        <w:tc>
          <w:tcPr>
            <w:tcW w:w="1418" w:type="dxa"/>
            <w:tcBorders>
              <w:top w:val="nil"/>
              <w:bottom w:val="nil"/>
            </w:tcBorders>
          </w:tcPr>
          <w:p w14:paraId="28631309" w14:textId="77777777" w:rsidR="00F11955" w:rsidRPr="00F11955" w:rsidRDefault="00F11955" w:rsidP="00F11955">
            <w:pPr>
              <w:rPr>
                <w:rFonts w:cstheme="minorHAnsi"/>
                <w:sz w:val="24"/>
                <w:szCs w:val="24"/>
              </w:rPr>
            </w:pPr>
            <w:proofErr w:type="spellStart"/>
            <w:r w:rsidRPr="00F11955">
              <w:rPr>
                <w:rFonts w:cstheme="minorHAnsi"/>
                <w:sz w:val="24"/>
                <w:szCs w:val="24"/>
              </w:rPr>
              <w:t>Tahapan</w:t>
            </w:r>
            <w:proofErr w:type="spellEnd"/>
            <w:r w:rsidRPr="00F11955">
              <w:rPr>
                <w:rFonts w:cstheme="minorHAnsi"/>
                <w:sz w:val="24"/>
                <w:szCs w:val="24"/>
              </w:rPr>
              <w:t xml:space="preserve"> </w:t>
            </w:r>
            <w:proofErr w:type="spellStart"/>
            <w:r w:rsidRPr="00F11955">
              <w:rPr>
                <w:rFonts w:cstheme="minorHAnsi"/>
                <w:sz w:val="24"/>
                <w:szCs w:val="24"/>
              </w:rPr>
              <w:t>prosedur</w:t>
            </w:r>
            <w:proofErr w:type="spellEnd"/>
          </w:p>
        </w:tc>
        <w:tc>
          <w:tcPr>
            <w:tcW w:w="2693" w:type="dxa"/>
            <w:tcBorders>
              <w:top w:val="nil"/>
              <w:bottom w:val="nil"/>
            </w:tcBorders>
          </w:tcPr>
          <w:p w14:paraId="7BDE056D" w14:textId="77777777" w:rsidR="00F11955" w:rsidRPr="00F11955" w:rsidRDefault="00F11955" w:rsidP="00F11955">
            <w:pPr>
              <w:rPr>
                <w:rFonts w:cstheme="minorHAnsi"/>
                <w:sz w:val="24"/>
                <w:szCs w:val="24"/>
              </w:rPr>
            </w:pPr>
            <w:proofErr w:type="spellStart"/>
            <w:r w:rsidRPr="00F11955">
              <w:rPr>
                <w:rFonts w:cstheme="minorHAnsi"/>
                <w:sz w:val="24"/>
                <w:szCs w:val="24"/>
              </w:rPr>
              <w:t>Lebih</w:t>
            </w:r>
            <w:proofErr w:type="spellEnd"/>
            <w:r w:rsidRPr="00F11955">
              <w:rPr>
                <w:rFonts w:cstheme="minorHAnsi"/>
                <w:sz w:val="24"/>
                <w:szCs w:val="24"/>
              </w:rPr>
              <w:t xml:space="preserve"> </w:t>
            </w:r>
            <w:proofErr w:type="spellStart"/>
            <w:r w:rsidRPr="00F11955">
              <w:rPr>
                <w:rFonts w:cstheme="minorHAnsi"/>
                <w:sz w:val="24"/>
                <w:szCs w:val="24"/>
              </w:rPr>
              <w:t>sederhana</w:t>
            </w:r>
            <w:proofErr w:type="spellEnd"/>
          </w:p>
        </w:tc>
        <w:tc>
          <w:tcPr>
            <w:tcW w:w="2126" w:type="dxa"/>
            <w:tcBorders>
              <w:top w:val="nil"/>
              <w:bottom w:val="nil"/>
            </w:tcBorders>
          </w:tcPr>
          <w:p w14:paraId="0F83198A" w14:textId="77777777" w:rsidR="00F11955" w:rsidRPr="00F11955" w:rsidRDefault="00F11955" w:rsidP="00F11955">
            <w:pPr>
              <w:rPr>
                <w:rFonts w:cstheme="minorHAnsi"/>
                <w:sz w:val="24"/>
                <w:szCs w:val="24"/>
              </w:rPr>
            </w:pPr>
            <w:proofErr w:type="spellStart"/>
            <w:r w:rsidRPr="00F11955">
              <w:rPr>
                <w:rFonts w:cstheme="minorHAnsi"/>
                <w:sz w:val="24"/>
                <w:szCs w:val="24"/>
              </w:rPr>
              <w:t>Lebih</w:t>
            </w:r>
            <w:proofErr w:type="spellEnd"/>
            <w:r w:rsidRPr="00F11955">
              <w:rPr>
                <w:rFonts w:cstheme="minorHAnsi"/>
                <w:sz w:val="24"/>
                <w:szCs w:val="24"/>
              </w:rPr>
              <w:t xml:space="preserve"> </w:t>
            </w:r>
            <w:proofErr w:type="spellStart"/>
            <w:r w:rsidRPr="00F11955">
              <w:rPr>
                <w:rFonts w:cstheme="minorHAnsi"/>
                <w:sz w:val="24"/>
                <w:szCs w:val="24"/>
              </w:rPr>
              <w:t>panjang</w:t>
            </w:r>
            <w:proofErr w:type="spellEnd"/>
          </w:p>
        </w:tc>
        <w:tc>
          <w:tcPr>
            <w:tcW w:w="2132" w:type="dxa"/>
            <w:tcBorders>
              <w:top w:val="nil"/>
              <w:bottom w:val="nil"/>
            </w:tcBorders>
          </w:tcPr>
          <w:p w14:paraId="33778F30" w14:textId="77777777" w:rsidR="00F11955" w:rsidRPr="00F11955" w:rsidRDefault="00F11955" w:rsidP="00F11955">
            <w:pPr>
              <w:rPr>
                <w:rFonts w:cstheme="minorHAnsi"/>
                <w:sz w:val="24"/>
                <w:szCs w:val="24"/>
              </w:rPr>
            </w:pPr>
            <w:proofErr w:type="spellStart"/>
            <w:r w:rsidRPr="00F11955">
              <w:rPr>
                <w:rFonts w:cstheme="minorHAnsi"/>
                <w:sz w:val="24"/>
                <w:szCs w:val="24"/>
              </w:rPr>
              <w:t>Lebih</w:t>
            </w:r>
            <w:proofErr w:type="spellEnd"/>
            <w:r w:rsidRPr="00F11955">
              <w:rPr>
                <w:rFonts w:cstheme="minorHAnsi"/>
                <w:sz w:val="24"/>
                <w:szCs w:val="24"/>
              </w:rPr>
              <w:t xml:space="preserve"> </w:t>
            </w:r>
            <w:proofErr w:type="spellStart"/>
            <w:r w:rsidRPr="00F11955">
              <w:rPr>
                <w:rFonts w:cstheme="minorHAnsi"/>
                <w:sz w:val="24"/>
                <w:szCs w:val="24"/>
              </w:rPr>
              <w:t>panjang</w:t>
            </w:r>
            <w:proofErr w:type="spellEnd"/>
          </w:p>
        </w:tc>
      </w:tr>
      <w:tr w:rsidR="00F11955" w:rsidRPr="00F11955" w14:paraId="64817016" w14:textId="77777777" w:rsidTr="006260AE">
        <w:trPr>
          <w:jc w:val="center"/>
        </w:trPr>
        <w:tc>
          <w:tcPr>
            <w:tcW w:w="1418" w:type="dxa"/>
            <w:tcBorders>
              <w:top w:val="nil"/>
              <w:bottom w:val="nil"/>
            </w:tcBorders>
          </w:tcPr>
          <w:p w14:paraId="45CD857F" w14:textId="77777777" w:rsidR="00F11955" w:rsidRPr="00F11955" w:rsidRDefault="00F11955" w:rsidP="00F11955">
            <w:pPr>
              <w:rPr>
                <w:rFonts w:cstheme="minorHAnsi"/>
                <w:sz w:val="24"/>
                <w:szCs w:val="24"/>
              </w:rPr>
            </w:pPr>
            <w:proofErr w:type="spellStart"/>
            <w:r w:rsidRPr="00F11955">
              <w:rPr>
                <w:rFonts w:cstheme="minorHAnsi"/>
                <w:sz w:val="24"/>
                <w:szCs w:val="24"/>
              </w:rPr>
              <w:t>Kelebihan</w:t>
            </w:r>
            <w:proofErr w:type="spellEnd"/>
          </w:p>
        </w:tc>
        <w:tc>
          <w:tcPr>
            <w:tcW w:w="2693" w:type="dxa"/>
            <w:tcBorders>
              <w:top w:val="nil"/>
              <w:bottom w:val="nil"/>
            </w:tcBorders>
          </w:tcPr>
          <w:p w14:paraId="78872F27" w14:textId="77777777" w:rsidR="00F11955" w:rsidRPr="00F11955" w:rsidRDefault="00F11955" w:rsidP="00F11955">
            <w:pPr>
              <w:rPr>
                <w:rFonts w:cstheme="minorHAnsi"/>
                <w:sz w:val="24"/>
                <w:szCs w:val="24"/>
              </w:rPr>
            </w:pPr>
            <w:proofErr w:type="spellStart"/>
            <w:r w:rsidRPr="00F11955">
              <w:rPr>
                <w:rFonts w:cstheme="minorHAnsi"/>
                <w:sz w:val="24"/>
                <w:szCs w:val="24"/>
              </w:rPr>
              <w:t>Standar</w:t>
            </w:r>
            <w:proofErr w:type="spellEnd"/>
            <w:r w:rsidRPr="00F11955">
              <w:rPr>
                <w:rFonts w:cstheme="minorHAnsi"/>
                <w:sz w:val="24"/>
                <w:szCs w:val="24"/>
              </w:rPr>
              <w:t xml:space="preserve"> </w:t>
            </w:r>
            <w:proofErr w:type="spellStart"/>
            <w:r w:rsidRPr="00F11955">
              <w:rPr>
                <w:rFonts w:cstheme="minorHAnsi"/>
                <w:sz w:val="24"/>
                <w:szCs w:val="24"/>
              </w:rPr>
              <w:t>baku</w:t>
            </w:r>
            <w:proofErr w:type="spellEnd"/>
            <w:r w:rsidRPr="00F11955">
              <w:rPr>
                <w:rFonts w:cstheme="minorHAnsi"/>
                <w:sz w:val="24"/>
                <w:szCs w:val="24"/>
              </w:rPr>
              <w:t xml:space="preserve">, </w:t>
            </w:r>
            <w:proofErr w:type="spellStart"/>
            <w:r w:rsidRPr="00F11955">
              <w:rPr>
                <w:rFonts w:cstheme="minorHAnsi"/>
                <w:sz w:val="24"/>
                <w:szCs w:val="24"/>
              </w:rPr>
              <w:t>biaya</w:t>
            </w:r>
            <w:proofErr w:type="spellEnd"/>
            <w:r w:rsidRPr="00F11955">
              <w:rPr>
                <w:rFonts w:cstheme="minorHAnsi"/>
                <w:sz w:val="24"/>
                <w:szCs w:val="24"/>
              </w:rPr>
              <w:t xml:space="preserve"> </w:t>
            </w:r>
            <w:proofErr w:type="spellStart"/>
            <w:r w:rsidRPr="00F11955">
              <w:rPr>
                <w:rFonts w:cstheme="minorHAnsi"/>
                <w:sz w:val="24"/>
                <w:szCs w:val="24"/>
              </w:rPr>
              <w:t>peralatan</w:t>
            </w:r>
            <w:proofErr w:type="spellEnd"/>
            <w:r w:rsidRPr="00F11955">
              <w:rPr>
                <w:rFonts w:cstheme="minorHAnsi"/>
                <w:sz w:val="24"/>
                <w:szCs w:val="24"/>
              </w:rPr>
              <w:t xml:space="preserve"> </w:t>
            </w:r>
            <w:proofErr w:type="spellStart"/>
            <w:r w:rsidRPr="00F11955">
              <w:rPr>
                <w:rFonts w:cstheme="minorHAnsi"/>
                <w:sz w:val="24"/>
                <w:szCs w:val="24"/>
              </w:rPr>
              <w:t>murah</w:t>
            </w:r>
            <w:proofErr w:type="spellEnd"/>
            <w:r w:rsidRPr="00F11955">
              <w:rPr>
                <w:rFonts w:cstheme="minorHAnsi"/>
                <w:sz w:val="24"/>
                <w:szCs w:val="24"/>
              </w:rPr>
              <w:t xml:space="preserve">, </w:t>
            </w:r>
            <w:proofErr w:type="spellStart"/>
            <w:r w:rsidRPr="00F11955">
              <w:rPr>
                <w:rFonts w:cstheme="minorHAnsi"/>
                <w:sz w:val="24"/>
                <w:szCs w:val="24"/>
              </w:rPr>
              <w:t>sensitif</w:t>
            </w:r>
            <w:proofErr w:type="spellEnd"/>
            <w:r w:rsidRPr="00F11955">
              <w:rPr>
                <w:rFonts w:cstheme="minorHAnsi"/>
                <w:sz w:val="24"/>
                <w:szCs w:val="24"/>
              </w:rPr>
              <w:t xml:space="preserve">, </w:t>
            </w:r>
            <w:proofErr w:type="spellStart"/>
            <w:r w:rsidRPr="00F11955">
              <w:rPr>
                <w:rFonts w:cstheme="minorHAnsi"/>
                <w:sz w:val="24"/>
                <w:szCs w:val="24"/>
              </w:rPr>
              <w:t>spesifik</w:t>
            </w:r>
            <w:proofErr w:type="spellEnd"/>
          </w:p>
        </w:tc>
        <w:tc>
          <w:tcPr>
            <w:tcW w:w="2126" w:type="dxa"/>
            <w:tcBorders>
              <w:top w:val="nil"/>
              <w:bottom w:val="nil"/>
            </w:tcBorders>
          </w:tcPr>
          <w:p w14:paraId="7528D916" w14:textId="77777777" w:rsidR="00F11955" w:rsidRPr="00F11955" w:rsidRDefault="00F11955" w:rsidP="00F11955">
            <w:pPr>
              <w:rPr>
                <w:rFonts w:cstheme="minorHAnsi"/>
                <w:sz w:val="24"/>
                <w:szCs w:val="24"/>
              </w:rPr>
            </w:pPr>
            <w:proofErr w:type="spellStart"/>
            <w:r w:rsidRPr="00F11955">
              <w:rPr>
                <w:rFonts w:cstheme="minorHAnsi"/>
                <w:sz w:val="24"/>
                <w:szCs w:val="24"/>
              </w:rPr>
              <w:t>Sangat</w:t>
            </w:r>
            <w:proofErr w:type="spellEnd"/>
            <w:r w:rsidRPr="00F11955">
              <w:rPr>
                <w:rFonts w:cstheme="minorHAnsi"/>
                <w:sz w:val="24"/>
                <w:szCs w:val="24"/>
              </w:rPr>
              <w:t xml:space="preserve"> </w:t>
            </w:r>
            <w:proofErr w:type="spellStart"/>
            <w:r w:rsidRPr="00F11955">
              <w:rPr>
                <w:rFonts w:cstheme="minorHAnsi"/>
                <w:sz w:val="24"/>
                <w:szCs w:val="24"/>
              </w:rPr>
              <w:t>spesifik</w:t>
            </w:r>
            <w:proofErr w:type="spellEnd"/>
            <w:r w:rsidRPr="00F11955">
              <w:rPr>
                <w:rFonts w:cstheme="minorHAnsi"/>
                <w:sz w:val="24"/>
                <w:szCs w:val="24"/>
              </w:rPr>
              <w:t xml:space="preserve">, minimal </w:t>
            </w:r>
            <w:proofErr w:type="spellStart"/>
            <w:r w:rsidRPr="00F11955">
              <w:rPr>
                <w:rFonts w:cstheme="minorHAnsi"/>
                <w:sz w:val="24"/>
                <w:szCs w:val="24"/>
              </w:rPr>
              <w:t>gangguan</w:t>
            </w:r>
            <w:proofErr w:type="spellEnd"/>
          </w:p>
        </w:tc>
        <w:tc>
          <w:tcPr>
            <w:tcW w:w="2132" w:type="dxa"/>
            <w:tcBorders>
              <w:top w:val="nil"/>
              <w:bottom w:val="nil"/>
            </w:tcBorders>
          </w:tcPr>
          <w:p w14:paraId="3B1D0CD1" w14:textId="77777777" w:rsidR="00F11955" w:rsidRPr="00F11955" w:rsidRDefault="00F11955" w:rsidP="00F11955">
            <w:pPr>
              <w:rPr>
                <w:rFonts w:cstheme="minorHAnsi"/>
                <w:sz w:val="24"/>
                <w:szCs w:val="24"/>
              </w:rPr>
            </w:pPr>
            <w:proofErr w:type="spellStart"/>
            <w:r w:rsidRPr="00F11955">
              <w:rPr>
                <w:rFonts w:cstheme="minorHAnsi"/>
                <w:sz w:val="24"/>
                <w:szCs w:val="24"/>
              </w:rPr>
              <w:t>Cepat</w:t>
            </w:r>
            <w:proofErr w:type="spellEnd"/>
            <w:r w:rsidRPr="00F11955">
              <w:rPr>
                <w:rFonts w:cstheme="minorHAnsi"/>
                <w:sz w:val="24"/>
                <w:szCs w:val="24"/>
              </w:rPr>
              <w:t xml:space="preserve"> (1–3 jam</w:t>
            </w:r>
            <w:proofErr w:type="gramStart"/>
            <w:r w:rsidRPr="00F11955">
              <w:rPr>
                <w:rFonts w:cstheme="minorHAnsi"/>
                <w:sz w:val="24"/>
                <w:szCs w:val="24"/>
              </w:rPr>
              <w:t xml:space="preserve">),  </w:t>
            </w:r>
            <w:proofErr w:type="spellStart"/>
            <w:r w:rsidRPr="00F11955">
              <w:rPr>
                <w:rFonts w:cstheme="minorHAnsi"/>
                <w:sz w:val="24"/>
                <w:szCs w:val="24"/>
              </w:rPr>
              <w:t>biaya</w:t>
            </w:r>
            <w:proofErr w:type="spellEnd"/>
            <w:proofErr w:type="gramEnd"/>
            <w:r w:rsidRPr="00F11955">
              <w:rPr>
                <w:rFonts w:cstheme="minorHAnsi"/>
                <w:sz w:val="24"/>
                <w:szCs w:val="24"/>
              </w:rPr>
              <w:t xml:space="preserve"> </w:t>
            </w:r>
            <w:proofErr w:type="spellStart"/>
            <w:r w:rsidRPr="00F11955">
              <w:rPr>
                <w:rFonts w:cstheme="minorHAnsi"/>
                <w:sz w:val="24"/>
                <w:szCs w:val="24"/>
              </w:rPr>
              <w:t>relatif</w:t>
            </w:r>
            <w:proofErr w:type="spellEnd"/>
            <w:r w:rsidRPr="00F11955">
              <w:rPr>
                <w:rFonts w:cstheme="minorHAnsi"/>
                <w:sz w:val="24"/>
                <w:szCs w:val="24"/>
              </w:rPr>
              <w:t xml:space="preserve"> </w:t>
            </w:r>
            <w:proofErr w:type="spellStart"/>
            <w:r w:rsidRPr="00F11955">
              <w:rPr>
                <w:rFonts w:cstheme="minorHAnsi"/>
                <w:sz w:val="24"/>
                <w:szCs w:val="24"/>
              </w:rPr>
              <w:t>murah</w:t>
            </w:r>
            <w:proofErr w:type="spellEnd"/>
            <w:r w:rsidRPr="00F11955">
              <w:rPr>
                <w:rFonts w:cstheme="minorHAnsi"/>
                <w:sz w:val="24"/>
                <w:szCs w:val="24"/>
              </w:rPr>
              <w:t xml:space="preserve">, </w:t>
            </w:r>
            <w:proofErr w:type="spellStart"/>
            <w:r w:rsidRPr="00F11955">
              <w:rPr>
                <w:rFonts w:cstheme="minorHAnsi"/>
                <w:sz w:val="24"/>
                <w:szCs w:val="24"/>
              </w:rPr>
              <w:t>tidak</w:t>
            </w:r>
            <w:proofErr w:type="spellEnd"/>
            <w:r w:rsidRPr="00F11955">
              <w:rPr>
                <w:rFonts w:cstheme="minorHAnsi"/>
                <w:sz w:val="24"/>
                <w:szCs w:val="24"/>
              </w:rPr>
              <w:t xml:space="preserve"> </w:t>
            </w:r>
            <w:proofErr w:type="spellStart"/>
            <w:r w:rsidRPr="00F11955">
              <w:rPr>
                <w:rFonts w:cstheme="minorHAnsi"/>
                <w:sz w:val="24"/>
                <w:szCs w:val="24"/>
              </w:rPr>
              <w:t>diperlukan</w:t>
            </w:r>
            <w:proofErr w:type="spellEnd"/>
            <w:r w:rsidRPr="00F11955">
              <w:rPr>
                <w:rFonts w:cstheme="minorHAnsi"/>
                <w:sz w:val="24"/>
                <w:szCs w:val="24"/>
              </w:rPr>
              <w:t xml:space="preserve"> </w:t>
            </w:r>
            <w:proofErr w:type="spellStart"/>
            <w:r w:rsidRPr="00F11955">
              <w:rPr>
                <w:rFonts w:cstheme="minorHAnsi"/>
                <w:sz w:val="24"/>
                <w:szCs w:val="24"/>
              </w:rPr>
              <w:t>keahlian</w:t>
            </w:r>
            <w:proofErr w:type="spellEnd"/>
            <w:r w:rsidRPr="00F11955">
              <w:rPr>
                <w:rFonts w:cstheme="minorHAnsi"/>
                <w:sz w:val="24"/>
                <w:szCs w:val="24"/>
              </w:rPr>
              <w:t xml:space="preserve">, </w:t>
            </w:r>
            <w:proofErr w:type="spellStart"/>
            <w:r w:rsidRPr="00F11955">
              <w:rPr>
                <w:rFonts w:cstheme="minorHAnsi"/>
                <w:sz w:val="24"/>
                <w:szCs w:val="24"/>
              </w:rPr>
              <w:t>mudah</w:t>
            </w:r>
            <w:proofErr w:type="spellEnd"/>
            <w:r w:rsidRPr="00F11955">
              <w:rPr>
                <w:rFonts w:cstheme="minorHAnsi"/>
                <w:sz w:val="24"/>
                <w:szCs w:val="24"/>
              </w:rPr>
              <w:t xml:space="preserve"> </w:t>
            </w:r>
            <w:proofErr w:type="spellStart"/>
            <w:r w:rsidRPr="00F11955">
              <w:rPr>
                <w:rFonts w:cstheme="minorHAnsi"/>
                <w:sz w:val="24"/>
                <w:szCs w:val="24"/>
              </w:rPr>
              <w:t>dilakukan</w:t>
            </w:r>
            <w:proofErr w:type="spellEnd"/>
            <w:r w:rsidRPr="00F11955">
              <w:rPr>
                <w:rFonts w:cstheme="minorHAnsi"/>
                <w:sz w:val="24"/>
                <w:szCs w:val="24"/>
              </w:rPr>
              <w:t xml:space="preserve">, </w:t>
            </w:r>
            <w:proofErr w:type="spellStart"/>
            <w:r w:rsidRPr="00F11955">
              <w:rPr>
                <w:rFonts w:cstheme="minorHAnsi"/>
                <w:sz w:val="24"/>
                <w:szCs w:val="24"/>
              </w:rPr>
              <w:t>spesifisitas</w:t>
            </w:r>
            <w:proofErr w:type="spellEnd"/>
            <w:r w:rsidRPr="00F11955">
              <w:rPr>
                <w:rFonts w:cstheme="minorHAnsi"/>
                <w:sz w:val="24"/>
                <w:szCs w:val="24"/>
              </w:rPr>
              <w:t xml:space="preserve"> </w:t>
            </w:r>
            <w:proofErr w:type="spellStart"/>
            <w:r w:rsidRPr="00F11955">
              <w:rPr>
                <w:rFonts w:cstheme="minorHAnsi"/>
                <w:sz w:val="24"/>
                <w:szCs w:val="24"/>
              </w:rPr>
              <w:t>tinggi</w:t>
            </w:r>
            <w:proofErr w:type="spellEnd"/>
            <w:r w:rsidRPr="00F11955">
              <w:rPr>
                <w:rFonts w:cstheme="minorHAnsi"/>
                <w:sz w:val="24"/>
                <w:szCs w:val="24"/>
              </w:rPr>
              <w:t xml:space="preserve"> </w:t>
            </w:r>
          </w:p>
        </w:tc>
      </w:tr>
      <w:tr w:rsidR="00F11955" w:rsidRPr="00F11955" w14:paraId="35F7FF07" w14:textId="77777777" w:rsidTr="006260AE">
        <w:trPr>
          <w:jc w:val="center"/>
        </w:trPr>
        <w:tc>
          <w:tcPr>
            <w:tcW w:w="1418" w:type="dxa"/>
            <w:tcBorders>
              <w:top w:val="nil"/>
            </w:tcBorders>
          </w:tcPr>
          <w:p w14:paraId="54B5E4BE" w14:textId="77777777" w:rsidR="00F11955" w:rsidRPr="00F11955" w:rsidRDefault="00F11955" w:rsidP="00F11955">
            <w:pPr>
              <w:rPr>
                <w:rFonts w:cstheme="minorHAnsi"/>
                <w:sz w:val="24"/>
                <w:szCs w:val="24"/>
              </w:rPr>
            </w:pPr>
            <w:proofErr w:type="spellStart"/>
            <w:r w:rsidRPr="00F11955">
              <w:rPr>
                <w:rFonts w:cstheme="minorHAnsi"/>
                <w:sz w:val="24"/>
                <w:szCs w:val="24"/>
              </w:rPr>
              <w:t>Kekurangan</w:t>
            </w:r>
            <w:proofErr w:type="spellEnd"/>
          </w:p>
        </w:tc>
        <w:tc>
          <w:tcPr>
            <w:tcW w:w="2693" w:type="dxa"/>
            <w:tcBorders>
              <w:top w:val="nil"/>
            </w:tcBorders>
          </w:tcPr>
          <w:p w14:paraId="61152450" w14:textId="77777777" w:rsidR="00F11955" w:rsidRPr="00F11955" w:rsidRDefault="00F11955" w:rsidP="00F11955">
            <w:pPr>
              <w:rPr>
                <w:rFonts w:cstheme="minorHAnsi"/>
                <w:sz w:val="24"/>
                <w:szCs w:val="24"/>
              </w:rPr>
            </w:pPr>
            <w:r w:rsidRPr="00F11955">
              <w:rPr>
                <w:rFonts w:cstheme="minorHAnsi"/>
                <w:sz w:val="24"/>
                <w:szCs w:val="24"/>
              </w:rPr>
              <w:t xml:space="preserve">Lama (1-3 </w:t>
            </w:r>
            <w:proofErr w:type="spellStart"/>
            <w:r w:rsidRPr="00F11955">
              <w:rPr>
                <w:rFonts w:cstheme="minorHAnsi"/>
                <w:sz w:val="24"/>
                <w:szCs w:val="24"/>
              </w:rPr>
              <w:t>hari</w:t>
            </w:r>
            <w:proofErr w:type="spellEnd"/>
            <w:r w:rsidRPr="00F11955">
              <w:rPr>
                <w:rFonts w:cstheme="minorHAnsi"/>
                <w:sz w:val="24"/>
                <w:szCs w:val="24"/>
              </w:rPr>
              <w:t xml:space="preserve">), </w:t>
            </w:r>
            <w:proofErr w:type="spellStart"/>
            <w:r w:rsidRPr="00F11955">
              <w:rPr>
                <w:rFonts w:cstheme="minorHAnsi"/>
                <w:sz w:val="24"/>
                <w:szCs w:val="24"/>
              </w:rPr>
              <w:t>kontaminan</w:t>
            </w:r>
            <w:proofErr w:type="spellEnd"/>
            <w:r w:rsidRPr="00F11955">
              <w:rPr>
                <w:rFonts w:cstheme="minorHAnsi"/>
                <w:sz w:val="24"/>
                <w:szCs w:val="24"/>
              </w:rPr>
              <w:t xml:space="preserve">, </w:t>
            </w:r>
            <w:proofErr w:type="spellStart"/>
            <w:r w:rsidRPr="00F11955">
              <w:rPr>
                <w:rFonts w:cstheme="minorHAnsi"/>
                <w:sz w:val="24"/>
                <w:szCs w:val="24"/>
              </w:rPr>
              <w:t>membutuhkan</w:t>
            </w:r>
            <w:proofErr w:type="spellEnd"/>
            <w:r w:rsidRPr="00F11955">
              <w:rPr>
                <w:rFonts w:cstheme="minorHAnsi"/>
                <w:sz w:val="24"/>
                <w:szCs w:val="24"/>
              </w:rPr>
              <w:t xml:space="preserve"> </w:t>
            </w:r>
            <w:proofErr w:type="spellStart"/>
            <w:r w:rsidRPr="00F11955">
              <w:rPr>
                <w:rFonts w:cstheme="minorHAnsi"/>
                <w:sz w:val="24"/>
                <w:szCs w:val="24"/>
              </w:rPr>
              <w:t>keahlian</w:t>
            </w:r>
            <w:proofErr w:type="spellEnd"/>
            <w:r w:rsidRPr="00F11955">
              <w:rPr>
                <w:rFonts w:cstheme="minorHAnsi"/>
                <w:sz w:val="24"/>
                <w:szCs w:val="24"/>
              </w:rPr>
              <w:t xml:space="preserve"> </w:t>
            </w:r>
            <w:proofErr w:type="spellStart"/>
            <w:r w:rsidRPr="00F11955">
              <w:rPr>
                <w:rFonts w:cstheme="minorHAnsi"/>
                <w:sz w:val="24"/>
                <w:szCs w:val="24"/>
              </w:rPr>
              <w:t>mikrobiologi</w:t>
            </w:r>
            <w:proofErr w:type="spellEnd"/>
            <w:r w:rsidRPr="00F11955">
              <w:rPr>
                <w:rFonts w:cstheme="minorHAnsi"/>
                <w:sz w:val="24"/>
                <w:szCs w:val="24"/>
              </w:rPr>
              <w:t xml:space="preserve">, </w:t>
            </w:r>
            <w:proofErr w:type="spellStart"/>
            <w:r w:rsidRPr="00F11955">
              <w:rPr>
                <w:rFonts w:cstheme="minorHAnsi"/>
                <w:sz w:val="24"/>
                <w:szCs w:val="24"/>
              </w:rPr>
              <w:t>masalah</w:t>
            </w:r>
            <w:proofErr w:type="spellEnd"/>
            <w:r w:rsidRPr="00F11955">
              <w:rPr>
                <w:rFonts w:cstheme="minorHAnsi"/>
                <w:sz w:val="24"/>
                <w:szCs w:val="24"/>
              </w:rPr>
              <w:t xml:space="preserve"> media </w:t>
            </w:r>
            <w:proofErr w:type="spellStart"/>
            <w:r w:rsidRPr="00F11955">
              <w:rPr>
                <w:rFonts w:cstheme="minorHAnsi"/>
                <w:sz w:val="24"/>
                <w:szCs w:val="24"/>
              </w:rPr>
              <w:t>tumbuh</w:t>
            </w:r>
            <w:proofErr w:type="spellEnd"/>
            <w:r w:rsidRPr="00F11955">
              <w:rPr>
                <w:rFonts w:cstheme="minorHAnsi"/>
                <w:sz w:val="24"/>
                <w:szCs w:val="24"/>
              </w:rPr>
              <w:t xml:space="preserve"> dan </w:t>
            </w:r>
            <w:proofErr w:type="spellStart"/>
            <w:r w:rsidRPr="00F11955">
              <w:rPr>
                <w:rFonts w:cstheme="minorHAnsi"/>
                <w:sz w:val="24"/>
                <w:szCs w:val="24"/>
              </w:rPr>
              <w:t>pemeliharaan</w:t>
            </w:r>
            <w:proofErr w:type="spellEnd"/>
            <w:r w:rsidRPr="00F11955">
              <w:rPr>
                <w:rFonts w:cstheme="minorHAnsi"/>
                <w:sz w:val="24"/>
                <w:szCs w:val="24"/>
              </w:rPr>
              <w:t xml:space="preserve"> yang </w:t>
            </w:r>
            <w:proofErr w:type="spellStart"/>
            <w:r w:rsidRPr="00F11955">
              <w:rPr>
                <w:rFonts w:cstheme="minorHAnsi"/>
                <w:sz w:val="24"/>
                <w:szCs w:val="24"/>
              </w:rPr>
              <w:t>tepat</w:t>
            </w:r>
            <w:proofErr w:type="spellEnd"/>
          </w:p>
        </w:tc>
        <w:tc>
          <w:tcPr>
            <w:tcW w:w="2126" w:type="dxa"/>
            <w:tcBorders>
              <w:top w:val="nil"/>
            </w:tcBorders>
          </w:tcPr>
          <w:p w14:paraId="031F025C" w14:textId="77777777" w:rsidR="00F11955" w:rsidRPr="00F11955" w:rsidRDefault="00F11955" w:rsidP="00F11955">
            <w:pPr>
              <w:rPr>
                <w:rFonts w:cstheme="minorHAnsi"/>
                <w:sz w:val="24"/>
                <w:szCs w:val="24"/>
              </w:rPr>
            </w:pPr>
            <w:proofErr w:type="spellStart"/>
            <w:r w:rsidRPr="00F11955">
              <w:rPr>
                <w:rFonts w:cstheme="minorHAnsi"/>
                <w:sz w:val="24"/>
                <w:szCs w:val="24"/>
              </w:rPr>
              <w:t>Biaya</w:t>
            </w:r>
            <w:proofErr w:type="spellEnd"/>
            <w:r w:rsidRPr="00F11955">
              <w:rPr>
                <w:rFonts w:cstheme="minorHAnsi"/>
                <w:sz w:val="24"/>
                <w:szCs w:val="24"/>
              </w:rPr>
              <w:t xml:space="preserve"> mahal, </w:t>
            </w:r>
            <w:proofErr w:type="spellStart"/>
            <w:r w:rsidRPr="00F11955">
              <w:rPr>
                <w:rFonts w:cstheme="minorHAnsi"/>
                <w:sz w:val="24"/>
                <w:szCs w:val="24"/>
              </w:rPr>
              <w:t>perlu</w:t>
            </w:r>
            <w:proofErr w:type="spellEnd"/>
            <w:r w:rsidRPr="00F11955">
              <w:rPr>
                <w:rFonts w:cstheme="minorHAnsi"/>
                <w:sz w:val="24"/>
                <w:szCs w:val="24"/>
              </w:rPr>
              <w:t xml:space="preserve"> </w:t>
            </w:r>
            <w:proofErr w:type="spellStart"/>
            <w:r w:rsidRPr="00F11955">
              <w:rPr>
                <w:rFonts w:cstheme="minorHAnsi"/>
                <w:sz w:val="24"/>
                <w:szCs w:val="24"/>
              </w:rPr>
              <w:t>standar</w:t>
            </w:r>
            <w:proofErr w:type="spellEnd"/>
            <w:r w:rsidRPr="00F11955">
              <w:rPr>
                <w:rFonts w:cstheme="minorHAnsi"/>
                <w:sz w:val="24"/>
                <w:szCs w:val="24"/>
              </w:rPr>
              <w:t xml:space="preserve"> </w:t>
            </w:r>
            <w:proofErr w:type="spellStart"/>
            <w:r w:rsidRPr="00F11955">
              <w:rPr>
                <w:rFonts w:cstheme="minorHAnsi"/>
                <w:sz w:val="24"/>
                <w:szCs w:val="24"/>
              </w:rPr>
              <w:t>untuk</w:t>
            </w:r>
            <w:proofErr w:type="spellEnd"/>
            <w:r w:rsidRPr="00F11955">
              <w:rPr>
                <w:rFonts w:cstheme="minorHAnsi"/>
                <w:sz w:val="24"/>
                <w:szCs w:val="24"/>
              </w:rPr>
              <w:t xml:space="preserve"> </w:t>
            </w:r>
            <w:proofErr w:type="spellStart"/>
            <w:r w:rsidRPr="00F11955">
              <w:rPr>
                <w:rFonts w:cstheme="minorHAnsi"/>
                <w:sz w:val="24"/>
                <w:szCs w:val="24"/>
              </w:rPr>
              <w:t>semua</w:t>
            </w:r>
            <w:proofErr w:type="spellEnd"/>
            <w:r w:rsidRPr="00F11955">
              <w:rPr>
                <w:rFonts w:cstheme="minorHAnsi"/>
                <w:sz w:val="24"/>
                <w:szCs w:val="24"/>
              </w:rPr>
              <w:t xml:space="preserve"> </w:t>
            </w:r>
            <w:proofErr w:type="spellStart"/>
            <w:r w:rsidRPr="00F11955">
              <w:rPr>
                <w:rFonts w:cstheme="minorHAnsi"/>
                <w:sz w:val="24"/>
                <w:szCs w:val="24"/>
              </w:rPr>
              <w:t>bentuk</w:t>
            </w:r>
            <w:proofErr w:type="spellEnd"/>
            <w:r w:rsidRPr="00F11955">
              <w:rPr>
                <w:rFonts w:cstheme="minorHAnsi"/>
                <w:sz w:val="24"/>
                <w:szCs w:val="24"/>
              </w:rPr>
              <w:t xml:space="preserve"> </w:t>
            </w:r>
            <w:proofErr w:type="spellStart"/>
            <w:r w:rsidRPr="00F11955">
              <w:rPr>
                <w:rFonts w:cstheme="minorHAnsi"/>
                <w:sz w:val="24"/>
                <w:szCs w:val="24"/>
              </w:rPr>
              <w:t>folat</w:t>
            </w:r>
            <w:proofErr w:type="spellEnd"/>
            <w:r w:rsidRPr="00F11955">
              <w:rPr>
                <w:rFonts w:cstheme="minorHAnsi"/>
                <w:sz w:val="24"/>
                <w:szCs w:val="24"/>
              </w:rPr>
              <w:t xml:space="preserve">, </w:t>
            </w:r>
            <w:proofErr w:type="spellStart"/>
            <w:r w:rsidRPr="00F11955">
              <w:rPr>
                <w:rFonts w:cstheme="minorHAnsi"/>
                <w:sz w:val="24"/>
                <w:szCs w:val="24"/>
              </w:rPr>
              <w:t>sensitivitas</w:t>
            </w:r>
            <w:proofErr w:type="spellEnd"/>
            <w:r w:rsidRPr="00F11955">
              <w:rPr>
                <w:rFonts w:cstheme="minorHAnsi"/>
                <w:sz w:val="24"/>
                <w:szCs w:val="24"/>
              </w:rPr>
              <w:t xml:space="preserve"> </w:t>
            </w:r>
            <w:proofErr w:type="spellStart"/>
            <w:r w:rsidRPr="00F11955">
              <w:rPr>
                <w:rFonts w:cstheme="minorHAnsi"/>
                <w:sz w:val="24"/>
                <w:szCs w:val="24"/>
              </w:rPr>
              <w:t>rendah</w:t>
            </w:r>
            <w:proofErr w:type="spellEnd"/>
            <w:r w:rsidRPr="00F11955">
              <w:rPr>
                <w:rFonts w:cstheme="minorHAnsi"/>
                <w:sz w:val="24"/>
                <w:szCs w:val="24"/>
              </w:rPr>
              <w:t xml:space="preserve">, </w:t>
            </w:r>
            <w:proofErr w:type="spellStart"/>
            <w:r w:rsidRPr="00F11955">
              <w:rPr>
                <w:rFonts w:cstheme="minorHAnsi"/>
                <w:sz w:val="24"/>
                <w:szCs w:val="24"/>
              </w:rPr>
              <w:t>hanya</w:t>
            </w:r>
            <w:proofErr w:type="spellEnd"/>
            <w:r w:rsidRPr="00F11955">
              <w:rPr>
                <w:rFonts w:cstheme="minorHAnsi"/>
                <w:sz w:val="24"/>
                <w:szCs w:val="24"/>
              </w:rPr>
              <w:t xml:space="preserve"> </w:t>
            </w:r>
            <w:proofErr w:type="spellStart"/>
            <w:r w:rsidRPr="00F11955">
              <w:rPr>
                <w:rFonts w:cstheme="minorHAnsi"/>
                <w:sz w:val="24"/>
                <w:szCs w:val="24"/>
              </w:rPr>
              <w:t>untuk</w:t>
            </w:r>
            <w:proofErr w:type="spellEnd"/>
            <w:r w:rsidRPr="00F11955">
              <w:rPr>
                <w:rFonts w:cstheme="minorHAnsi"/>
                <w:sz w:val="24"/>
                <w:szCs w:val="24"/>
              </w:rPr>
              <w:t xml:space="preserve"> </w:t>
            </w:r>
            <w:proofErr w:type="spellStart"/>
            <w:r w:rsidRPr="00F11955">
              <w:rPr>
                <w:rFonts w:cstheme="minorHAnsi"/>
                <w:sz w:val="24"/>
                <w:szCs w:val="24"/>
              </w:rPr>
              <w:t>monoglutamat</w:t>
            </w:r>
            <w:proofErr w:type="spellEnd"/>
          </w:p>
        </w:tc>
        <w:tc>
          <w:tcPr>
            <w:tcW w:w="2132" w:type="dxa"/>
            <w:tcBorders>
              <w:top w:val="nil"/>
            </w:tcBorders>
          </w:tcPr>
          <w:p w14:paraId="57AA291C" w14:textId="77777777" w:rsidR="00F11955" w:rsidRPr="00F11955" w:rsidRDefault="00F11955" w:rsidP="00F11955">
            <w:pPr>
              <w:rPr>
                <w:rFonts w:cstheme="minorHAnsi"/>
                <w:sz w:val="24"/>
                <w:szCs w:val="24"/>
              </w:rPr>
            </w:pPr>
            <w:proofErr w:type="spellStart"/>
            <w:r w:rsidRPr="00F11955">
              <w:rPr>
                <w:rFonts w:cstheme="minorHAnsi"/>
                <w:sz w:val="24"/>
                <w:szCs w:val="24"/>
              </w:rPr>
              <w:t>Sensitivitas</w:t>
            </w:r>
            <w:proofErr w:type="spellEnd"/>
            <w:r w:rsidRPr="00F11955">
              <w:rPr>
                <w:rFonts w:cstheme="minorHAnsi"/>
                <w:sz w:val="24"/>
                <w:szCs w:val="24"/>
              </w:rPr>
              <w:t xml:space="preserve"> </w:t>
            </w:r>
            <w:proofErr w:type="spellStart"/>
            <w:r w:rsidRPr="00F11955">
              <w:rPr>
                <w:rFonts w:cstheme="minorHAnsi"/>
                <w:sz w:val="24"/>
                <w:szCs w:val="24"/>
              </w:rPr>
              <w:t>tiap</w:t>
            </w:r>
            <w:proofErr w:type="spellEnd"/>
            <w:r w:rsidRPr="00F11955">
              <w:rPr>
                <w:rFonts w:cstheme="minorHAnsi"/>
                <w:sz w:val="24"/>
                <w:szCs w:val="24"/>
              </w:rPr>
              <w:t xml:space="preserve"> kit </w:t>
            </w:r>
            <w:proofErr w:type="spellStart"/>
            <w:r w:rsidRPr="00F11955">
              <w:rPr>
                <w:rFonts w:cstheme="minorHAnsi"/>
                <w:sz w:val="24"/>
                <w:szCs w:val="24"/>
              </w:rPr>
              <w:t>berbeda</w:t>
            </w:r>
            <w:proofErr w:type="spellEnd"/>
            <w:r w:rsidRPr="00F11955">
              <w:rPr>
                <w:rFonts w:cstheme="minorHAnsi"/>
                <w:sz w:val="24"/>
                <w:szCs w:val="24"/>
              </w:rPr>
              <w:t xml:space="preserve">, masa </w:t>
            </w:r>
            <w:proofErr w:type="spellStart"/>
            <w:r w:rsidRPr="00F11955">
              <w:rPr>
                <w:rFonts w:cstheme="minorHAnsi"/>
                <w:sz w:val="24"/>
                <w:szCs w:val="24"/>
              </w:rPr>
              <w:t>pakai</w:t>
            </w:r>
            <w:proofErr w:type="spellEnd"/>
            <w:r w:rsidRPr="00F11955">
              <w:rPr>
                <w:rFonts w:cstheme="minorHAnsi"/>
                <w:sz w:val="24"/>
                <w:szCs w:val="24"/>
              </w:rPr>
              <w:t xml:space="preserve"> kit </w:t>
            </w:r>
            <w:proofErr w:type="spellStart"/>
            <w:r w:rsidRPr="00F11955">
              <w:rPr>
                <w:rFonts w:cstheme="minorHAnsi"/>
                <w:sz w:val="24"/>
                <w:szCs w:val="24"/>
              </w:rPr>
              <w:t>sangat</w:t>
            </w:r>
            <w:proofErr w:type="spellEnd"/>
            <w:r w:rsidRPr="00F11955">
              <w:rPr>
                <w:rFonts w:cstheme="minorHAnsi"/>
                <w:sz w:val="24"/>
                <w:szCs w:val="24"/>
              </w:rPr>
              <w:t xml:space="preserve"> </w:t>
            </w:r>
            <w:proofErr w:type="spellStart"/>
            <w:r w:rsidRPr="00F11955">
              <w:rPr>
                <w:rFonts w:cstheme="minorHAnsi"/>
                <w:sz w:val="24"/>
                <w:szCs w:val="24"/>
              </w:rPr>
              <w:t>pendek</w:t>
            </w:r>
            <w:proofErr w:type="spellEnd"/>
            <w:r w:rsidRPr="00F11955">
              <w:rPr>
                <w:rFonts w:cstheme="minorHAnsi"/>
                <w:sz w:val="24"/>
                <w:szCs w:val="24"/>
              </w:rPr>
              <w:t xml:space="preserve">, </w:t>
            </w:r>
            <w:proofErr w:type="spellStart"/>
            <w:r w:rsidRPr="00F11955">
              <w:rPr>
                <w:rFonts w:cstheme="minorHAnsi"/>
                <w:sz w:val="24"/>
                <w:szCs w:val="24"/>
              </w:rPr>
              <w:t>hanya</w:t>
            </w:r>
            <w:proofErr w:type="spellEnd"/>
            <w:r w:rsidRPr="00F11955">
              <w:rPr>
                <w:rFonts w:cstheme="minorHAnsi"/>
                <w:sz w:val="24"/>
                <w:szCs w:val="24"/>
              </w:rPr>
              <w:t xml:space="preserve"> </w:t>
            </w:r>
            <w:proofErr w:type="spellStart"/>
            <w:r w:rsidRPr="00F11955">
              <w:rPr>
                <w:rFonts w:cstheme="minorHAnsi"/>
                <w:sz w:val="24"/>
                <w:szCs w:val="24"/>
              </w:rPr>
              <w:t>untuk</w:t>
            </w:r>
            <w:proofErr w:type="spellEnd"/>
            <w:r w:rsidRPr="00F11955">
              <w:rPr>
                <w:rFonts w:cstheme="minorHAnsi"/>
                <w:sz w:val="24"/>
                <w:szCs w:val="24"/>
              </w:rPr>
              <w:t xml:space="preserve"> </w:t>
            </w:r>
            <w:proofErr w:type="spellStart"/>
            <w:r w:rsidRPr="00F11955">
              <w:rPr>
                <w:rFonts w:cstheme="minorHAnsi"/>
                <w:sz w:val="24"/>
                <w:szCs w:val="24"/>
              </w:rPr>
              <w:t>monoglutamat</w:t>
            </w:r>
            <w:proofErr w:type="spellEnd"/>
          </w:p>
        </w:tc>
      </w:tr>
    </w:tbl>
    <w:p w14:paraId="05FF7096" w14:textId="77777777" w:rsidR="00F11955" w:rsidRPr="00F11955" w:rsidRDefault="00F11955" w:rsidP="00F11955">
      <w:pPr>
        <w:spacing w:after="0" w:line="240" w:lineRule="auto"/>
        <w:ind w:firstLine="720"/>
        <w:jc w:val="both"/>
        <w:rPr>
          <w:rFonts w:cstheme="minorHAnsi"/>
          <w:sz w:val="24"/>
          <w:szCs w:val="24"/>
        </w:rPr>
      </w:pPr>
    </w:p>
    <w:p w14:paraId="79FA319C" w14:textId="77777777" w:rsidR="00F11955" w:rsidRPr="00F11955" w:rsidRDefault="00F11955">
      <w:pPr>
        <w:rPr>
          <w:rFonts w:cstheme="minorHAnsi"/>
          <w:sz w:val="24"/>
          <w:szCs w:val="24"/>
        </w:rPr>
      </w:pPr>
    </w:p>
    <w:sectPr w:rsidR="00F11955" w:rsidRPr="00F11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55"/>
    <w:rsid w:val="00F11955"/>
    <w:rsid w:val="00F427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9E01"/>
  <w15:chartTrackingRefBased/>
  <w15:docId w15:val="{45208F0A-7372-42FC-BAD5-6F4C2A21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CC0E4D2779D4AB41AFC743F252115" ma:contentTypeVersion="8" ma:contentTypeDescription="Create a new document." ma:contentTypeScope="" ma:versionID="e97d1e017affbba5533fdf2dbde1f1e8">
  <xsd:schema xmlns:xsd="http://www.w3.org/2001/XMLSchema" xmlns:xs="http://www.w3.org/2001/XMLSchema" xmlns:p="http://schemas.microsoft.com/office/2006/metadata/properties" xmlns:ns3="eaa8d37c-3c40-4877-9c50-65a2ecdf9338" targetNamespace="http://schemas.microsoft.com/office/2006/metadata/properties" ma:root="true" ma:fieldsID="8ba97df7f4472d3abac2c836c3e35aa8" ns3:_="">
    <xsd:import namespace="eaa8d37c-3c40-4877-9c50-65a2ecdf93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8d37c-3c40-4877-9c50-65a2ecdf9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B097C-E35B-4477-9ED2-DE8B08234E16}">
  <ds:schemaRefs>
    <ds:schemaRef ds:uri="http://schemas.microsoft.com/office/2006/documentManagement/types"/>
    <ds:schemaRef ds:uri="eaa8d37c-3c40-4877-9c50-65a2ecdf9338"/>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8D26467-0471-4515-AB5C-5B01BBAF4A43}">
  <ds:schemaRefs>
    <ds:schemaRef ds:uri="http://schemas.microsoft.com/sharepoint/v3/contenttype/forms"/>
  </ds:schemaRefs>
</ds:datastoreItem>
</file>

<file path=customXml/itemProps3.xml><?xml version="1.0" encoding="utf-8"?>
<ds:datastoreItem xmlns:ds="http://schemas.openxmlformats.org/officeDocument/2006/customXml" ds:itemID="{DC30D27C-E514-4895-8B08-C3CA62FB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8d37c-3c40-4877-9c50-65a2ecdf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1684</Words>
  <Characters>9605</Characters>
  <Application>Microsoft Office Word</Application>
  <DocSecurity>0</DocSecurity>
  <Lines>80</Lines>
  <Paragraphs>22</Paragraphs>
  <ScaleCrop>false</ScaleCrop>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subandrate</dc:creator>
  <cp:keywords/>
  <dc:description/>
  <cp:lastModifiedBy>subandrate</cp:lastModifiedBy>
  <cp:revision>2</cp:revision>
  <dcterms:created xsi:type="dcterms:W3CDTF">2021-08-19T02:26:00Z</dcterms:created>
  <dcterms:modified xsi:type="dcterms:W3CDTF">2021-08-19T02:26:00Z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0x01010011ACC0E4D2779D4AB41AFC743F252115</vt:lpwstr>
  </property>
</Properties>
</file>